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6C" w:rsidRDefault="00A8476C" w:rsidP="0093430C">
      <w:pPr>
        <w:jc w:val="center"/>
        <w:rPr>
          <w:b/>
          <w:sz w:val="28"/>
          <w:szCs w:val="28"/>
        </w:rPr>
      </w:pPr>
      <w:bookmarkStart w:id="0" w:name="_GoBack"/>
      <w:bookmarkEnd w:id="0"/>
    </w:p>
    <w:p w:rsidR="0093430C" w:rsidRPr="00EF15F1" w:rsidRDefault="0093430C" w:rsidP="0093430C">
      <w:pPr>
        <w:jc w:val="center"/>
        <w:rPr>
          <w:b/>
          <w:sz w:val="28"/>
          <w:szCs w:val="28"/>
        </w:rPr>
      </w:pPr>
      <w:r w:rsidRPr="00EF15F1">
        <w:rPr>
          <w:b/>
          <w:sz w:val="28"/>
          <w:szCs w:val="28"/>
        </w:rPr>
        <w:t>ПАСПОРТ ПРОГРАМИ</w:t>
      </w:r>
    </w:p>
    <w:p w:rsidR="0093430C" w:rsidRPr="00EF15F1" w:rsidRDefault="0093430C" w:rsidP="0093430C">
      <w:pPr>
        <w:jc w:val="both"/>
        <w:rPr>
          <w:sz w:val="28"/>
          <w:szCs w:val="28"/>
        </w:rPr>
      </w:pPr>
    </w:p>
    <w:tbl>
      <w:tblPr>
        <w:tblW w:w="95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7"/>
        <w:gridCol w:w="6944"/>
      </w:tblGrid>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Назва</w:t>
            </w:r>
          </w:p>
          <w:p w:rsidR="0093430C" w:rsidRPr="00034774" w:rsidRDefault="0093430C" w:rsidP="0093430C">
            <w:pPr>
              <w:jc w:val="center"/>
              <w:rPr>
                <w:sz w:val="26"/>
                <w:szCs w:val="26"/>
              </w:rPr>
            </w:pPr>
            <w:r w:rsidRPr="00034774">
              <w:rPr>
                <w:sz w:val="26"/>
                <w:szCs w:val="26"/>
              </w:rPr>
              <w:t>Програми</w:t>
            </w:r>
          </w:p>
        </w:tc>
        <w:tc>
          <w:tcPr>
            <w:tcW w:w="6944" w:type="dxa"/>
          </w:tcPr>
          <w:p w:rsidR="0093430C" w:rsidRPr="00034774" w:rsidRDefault="0093430C" w:rsidP="0093430C">
            <w:pPr>
              <w:jc w:val="both"/>
              <w:rPr>
                <w:sz w:val="26"/>
                <w:szCs w:val="26"/>
              </w:rPr>
            </w:pPr>
            <w:r w:rsidRPr="00034774">
              <w:rPr>
                <w:sz w:val="26"/>
                <w:szCs w:val="26"/>
              </w:rPr>
              <w:t>Програма поводження з</w:t>
            </w:r>
            <w:r>
              <w:rPr>
                <w:sz w:val="26"/>
                <w:szCs w:val="26"/>
              </w:rPr>
              <w:t xml:space="preserve"> твердими побутовими відходами вУжгородському районі</w:t>
            </w: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Підстава для розроблення Програми</w:t>
            </w:r>
          </w:p>
        </w:tc>
        <w:tc>
          <w:tcPr>
            <w:tcW w:w="6944" w:type="dxa"/>
          </w:tcPr>
          <w:p w:rsidR="0093430C" w:rsidRPr="00034774" w:rsidRDefault="0093430C" w:rsidP="0093430C">
            <w:pPr>
              <w:jc w:val="both"/>
              <w:rPr>
                <w:sz w:val="26"/>
                <w:szCs w:val="26"/>
              </w:rPr>
            </w:pPr>
            <w:r w:rsidRPr="00034774">
              <w:rPr>
                <w:sz w:val="26"/>
                <w:szCs w:val="26"/>
              </w:rPr>
              <w:t>Підставою прийняття розпорядження є необхідність виконання постанови Кабінету Міністрів України від 04.03.</w:t>
            </w:r>
            <w:r w:rsidR="004D6B3D">
              <w:rPr>
                <w:sz w:val="26"/>
                <w:szCs w:val="26"/>
              </w:rPr>
              <w:t xml:space="preserve">2004 </w:t>
            </w:r>
            <w:r w:rsidRPr="00034774">
              <w:rPr>
                <w:sz w:val="26"/>
                <w:szCs w:val="26"/>
              </w:rPr>
              <w:t xml:space="preserve">№ 265 </w:t>
            </w:r>
            <w:proofErr w:type="spellStart"/>
            <w:r w:rsidRPr="00034774">
              <w:rPr>
                <w:sz w:val="26"/>
                <w:szCs w:val="26"/>
              </w:rPr>
              <w:t>„Про</w:t>
            </w:r>
            <w:proofErr w:type="spellEnd"/>
            <w:r w:rsidRPr="00034774">
              <w:rPr>
                <w:sz w:val="26"/>
                <w:szCs w:val="26"/>
              </w:rPr>
              <w:t xml:space="preserve"> затвердження Програми поводження з твердими побутовими відходами”</w:t>
            </w: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Розробники Програми</w:t>
            </w:r>
          </w:p>
        </w:tc>
        <w:tc>
          <w:tcPr>
            <w:tcW w:w="6944" w:type="dxa"/>
          </w:tcPr>
          <w:p w:rsidR="0093430C" w:rsidRPr="00034774" w:rsidRDefault="0093430C" w:rsidP="0093430C">
            <w:pPr>
              <w:jc w:val="both"/>
              <w:rPr>
                <w:sz w:val="26"/>
                <w:szCs w:val="26"/>
              </w:rPr>
            </w:pPr>
            <w:r>
              <w:rPr>
                <w:sz w:val="26"/>
                <w:szCs w:val="26"/>
              </w:rPr>
              <w:t xml:space="preserve">Районна </w:t>
            </w:r>
            <w:r w:rsidRPr="00034774">
              <w:rPr>
                <w:sz w:val="26"/>
                <w:szCs w:val="26"/>
              </w:rPr>
              <w:t xml:space="preserve">державна адміністрація, </w:t>
            </w:r>
            <w:r>
              <w:rPr>
                <w:sz w:val="26"/>
                <w:szCs w:val="26"/>
              </w:rPr>
              <w:t>відділ регіонального розвитку райдержадміністрації</w:t>
            </w: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Мета і основні цілі Програми</w:t>
            </w:r>
          </w:p>
        </w:tc>
        <w:tc>
          <w:tcPr>
            <w:tcW w:w="6944" w:type="dxa"/>
          </w:tcPr>
          <w:p w:rsidR="0093430C" w:rsidRPr="00034774" w:rsidRDefault="0093430C" w:rsidP="0093430C">
            <w:pPr>
              <w:jc w:val="both"/>
              <w:rPr>
                <w:sz w:val="26"/>
                <w:szCs w:val="26"/>
              </w:rPr>
            </w:pPr>
            <w:r w:rsidRPr="00034774">
              <w:rPr>
                <w:sz w:val="26"/>
                <w:szCs w:val="26"/>
              </w:rPr>
              <w:t xml:space="preserve"> Метою прийняття Програми є вирішення екологічних, санітарних, економічних та соціальних проблем в </w:t>
            </w:r>
            <w:r>
              <w:rPr>
                <w:sz w:val="26"/>
                <w:szCs w:val="26"/>
              </w:rPr>
              <w:t>районі:</w:t>
            </w:r>
          </w:p>
          <w:p w:rsidR="0093430C" w:rsidRPr="00034774" w:rsidRDefault="0093430C" w:rsidP="0093430C">
            <w:pPr>
              <w:jc w:val="both"/>
              <w:rPr>
                <w:sz w:val="26"/>
                <w:szCs w:val="26"/>
              </w:rPr>
            </w:pPr>
            <w:r w:rsidRPr="00034774">
              <w:rPr>
                <w:sz w:val="26"/>
                <w:szCs w:val="26"/>
              </w:rPr>
              <w:t>Основні цілі Програми:</w:t>
            </w:r>
          </w:p>
          <w:p w:rsidR="0093430C" w:rsidRPr="00034774" w:rsidRDefault="0093430C" w:rsidP="0093430C">
            <w:pPr>
              <w:jc w:val="both"/>
              <w:rPr>
                <w:sz w:val="26"/>
                <w:szCs w:val="26"/>
              </w:rPr>
            </w:pPr>
            <w:r>
              <w:rPr>
                <w:sz w:val="26"/>
                <w:szCs w:val="26"/>
              </w:rPr>
              <w:t>повне охоплення території району</w:t>
            </w:r>
            <w:r w:rsidRPr="00034774">
              <w:rPr>
                <w:sz w:val="26"/>
                <w:szCs w:val="26"/>
              </w:rPr>
              <w:t xml:space="preserve"> послугами зі збору та вивезення ТПВ;</w:t>
            </w:r>
          </w:p>
          <w:p w:rsidR="0093430C" w:rsidRPr="00034774" w:rsidRDefault="0093430C" w:rsidP="0093430C">
            <w:pPr>
              <w:jc w:val="both"/>
              <w:rPr>
                <w:sz w:val="26"/>
                <w:szCs w:val="26"/>
              </w:rPr>
            </w:pPr>
            <w:r w:rsidRPr="00034774">
              <w:rPr>
                <w:rFonts w:cs="Arial"/>
                <w:sz w:val="26"/>
                <w:szCs w:val="26"/>
              </w:rPr>
              <w:t>надання якісних послуг збирання побутових відхо</w:t>
            </w:r>
            <w:r>
              <w:rPr>
                <w:rFonts w:cs="Arial"/>
                <w:sz w:val="26"/>
                <w:szCs w:val="26"/>
              </w:rPr>
              <w:t>дів для всього населення району</w:t>
            </w:r>
            <w:r w:rsidRPr="00034774">
              <w:rPr>
                <w:rFonts w:cs="Arial"/>
                <w:sz w:val="26"/>
                <w:szCs w:val="26"/>
              </w:rPr>
              <w:t xml:space="preserve"> за доступною ціною;</w:t>
            </w:r>
          </w:p>
          <w:p w:rsidR="0093430C" w:rsidRPr="00034774" w:rsidRDefault="0093430C" w:rsidP="0093430C">
            <w:pPr>
              <w:jc w:val="both"/>
              <w:rPr>
                <w:sz w:val="26"/>
                <w:szCs w:val="26"/>
              </w:rPr>
            </w:pPr>
            <w:r w:rsidRPr="00034774">
              <w:rPr>
                <w:sz w:val="26"/>
                <w:szCs w:val="26"/>
              </w:rPr>
              <w:t>завершення процесу впровадження системи роздільного збирання ТПВ, тощо.</w:t>
            </w: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Основні заходи Програми</w:t>
            </w:r>
          </w:p>
        </w:tc>
        <w:tc>
          <w:tcPr>
            <w:tcW w:w="6944" w:type="dxa"/>
          </w:tcPr>
          <w:p w:rsidR="00A8476C" w:rsidRDefault="0093430C" w:rsidP="0093430C">
            <w:pPr>
              <w:jc w:val="both"/>
              <w:rPr>
                <w:sz w:val="26"/>
                <w:szCs w:val="26"/>
              </w:rPr>
            </w:pPr>
            <w:r w:rsidRPr="00034774">
              <w:rPr>
                <w:sz w:val="26"/>
                <w:szCs w:val="26"/>
              </w:rPr>
              <w:t xml:space="preserve">Заходи: будівництво </w:t>
            </w:r>
            <w:r w:rsidR="00A8476C">
              <w:rPr>
                <w:sz w:val="26"/>
                <w:szCs w:val="26"/>
              </w:rPr>
              <w:t xml:space="preserve">нового </w:t>
            </w:r>
            <w:proofErr w:type="spellStart"/>
            <w:r w:rsidR="00A8476C">
              <w:rPr>
                <w:sz w:val="26"/>
                <w:szCs w:val="26"/>
              </w:rPr>
              <w:t>сміттєсортувального</w:t>
            </w:r>
            <w:proofErr w:type="spellEnd"/>
            <w:r w:rsidR="00A8476C">
              <w:rPr>
                <w:sz w:val="26"/>
                <w:szCs w:val="26"/>
              </w:rPr>
              <w:t xml:space="preserve"> та </w:t>
            </w:r>
            <w:proofErr w:type="spellStart"/>
            <w:r w:rsidR="00A8476C">
              <w:rPr>
                <w:sz w:val="26"/>
                <w:szCs w:val="26"/>
              </w:rPr>
              <w:t>сміттєпереробного</w:t>
            </w:r>
            <w:proofErr w:type="spellEnd"/>
            <w:r w:rsidR="00A8476C">
              <w:rPr>
                <w:sz w:val="26"/>
                <w:szCs w:val="26"/>
              </w:rPr>
              <w:t xml:space="preserve"> комплексу;</w:t>
            </w:r>
          </w:p>
          <w:p w:rsidR="0093430C" w:rsidRPr="00034774" w:rsidRDefault="0093430C" w:rsidP="0093430C">
            <w:pPr>
              <w:jc w:val="both"/>
              <w:rPr>
                <w:sz w:val="26"/>
                <w:szCs w:val="26"/>
              </w:rPr>
            </w:pPr>
            <w:r w:rsidRPr="00034774">
              <w:rPr>
                <w:sz w:val="26"/>
                <w:szCs w:val="26"/>
              </w:rPr>
              <w:t xml:space="preserve">налагодження схем збору відходів  від населення, підприємств та організацій; </w:t>
            </w:r>
          </w:p>
          <w:p w:rsidR="0093430C" w:rsidRPr="00034774" w:rsidRDefault="0093430C" w:rsidP="0093430C">
            <w:pPr>
              <w:jc w:val="both"/>
              <w:rPr>
                <w:sz w:val="26"/>
                <w:szCs w:val="26"/>
              </w:rPr>
            </w:pPr>
            <w:r w:rsidRPr="00034774">
              <w:rPr>
                <w:sz w:val="26"/>
                <w:szCs w:val="26"/>
              </w:rPr>
              <w:t>запровадження системи роздільного збору твердих побутових відходів (ТПВ) за фракціями: скло, папір, пластик, тощо.</w:t>
            </w: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Строки реалізації Програми</w:t>
            </w:r>
          </w:p>
        </w:tc>
        <w:tc>
          <w:tcPr>
            <w:tcW w:w="6944" w:type="dxa"/>
          </w:tcPr>
          <w:p w:rsidR="0093430C" w:rsidRPr="00034774" w:rsidRDefault="0093430C" w:rsidP="0093430C">
            <w:pPr>
              <w:jc w:val="both"/>
              <w:rPr>
                <w:sz w:val="26"/>
                <w:szCs w:val="26"/>
              </w:rPr>
            </w:pPr>
            <w:r>
              <w:rPr>
                <w:sz w:val="26"/>
                <w:szCs w:val="26"/>
              </w:rPr>
              <w:t>2020-2025</w:t>
            </w:r>
            <w:r w:rsidRPr="00034774">
              <w:rPr>
                <w:sz w:val="26"/>
                <w:szCs w:val="26"/>
              </w:rPr>
              <w:t xml:space="preserve"> роки</w:t>
            </w: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Фінансове забезпечення Програми</w:t>
            </w:r>
          </w:p>
        </w:tc>
        <w:tc>
          <w:tcPr>
            <w:tcW w:w="6944" w:type="dxa"/>
          </w:tcPr>
          <w:p w:rsidR="0093430C" w:rsidRPr="00034774" w:rsidRDefault="0093430C" w:rsidP="0093430C">
            <w:pPr>
              <w:jc w:val="both"/>
              <w:rPr>
                <w:sz w:val="26"/>
                <w:szCs w:val="26"/>
              </w:rPr>
            </w:pPr>
            <w:r w:rsidRPr="00034774">
              <w:rPr>
                <w:sz w:val="26"/>
                <w:szCs w:val="26"/>
              </w:rPr>
              <w:t>Фінансове забезпечення планується через отримання коштів за комунальні послуги від споживачів (збір та вивезення ТПВ), продажу відходів, як вторинної сировини, кошти бюджетів всіх рівнів та інших джерел, що не суперечать чинному законодавству України</w:t>
            </w:r>
          </w:p>
          <w:p w:rsidR="0093430C" w:rsidRPr="00034774" w:rsidRDefault="0093430C" w:rsidP="0093430C">
            <w:pPr>
              <w:jc w:val="both"/>
              <w:rPr>
                <w:sz w:val="26"/>
                <w:szCs w:val="26"/>
              </w:rPr>
            </w:pP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Очікувані результати реалізації Програми</w:t>
            </w:r>
          </w:p>
        </w:tc>
        <w:tc>
          <w:tcPr>
            <w:tcW w:w="6944" w:type="dxa"/>
          </w:tcPr>
          <w:p w:rsidR="0093430C" w:rsidRPr="00034774" w:rsidRDefault="0093430C" w:rsidP="0093430C">
            <w:pPr>
              <w:jc w:val="both"/>
              <w:rPr>
                <w:sz w:val="26"/>
                <w:szCs w:val="26"/>
              </w:rPr>
            </w:pPr>
            <w:r w:rsidRPr="00034774">
              <w:rPr>
                <w:sz w:val="26"/>
                <w:szCs w:val="26"/>
              </w:rPr>
              <w:t>Реалізація Програми забезпечить здійснення бл</w:t>
            </w:r>
            <w:r>
              <w:rPr>
                <w:sz w:val="26"/>
                <w:szCs w:val="26"/>
              </w:rPr>
              <w:t>агоустрою на території району</w:t>
            </w:r>
            <w:r w:rsidRPr="00034774">
              <w:rPr>
                <w:sz w:val="26"/>
                <w:szCs w:val="26"/>
              </w:rPr>
              <w:t xml:space="preserve"> та покращення екологічного стану</w:t>
            </w:r>
          </w:p>
          <w:p w:rsidR="0093430C" w:rsidRPr="00034774" w:rsidRDefault="0093430C" w:rsidP="0093430C">
            <w:pPr>
              <w:jc w:val="both"/>
              <w:rPr>
                <w:sz w:val="26"/>
                <w:szCs w:val="26"/>
              </w:rPr>
            </w:pPr>
          </w:p>
        </w:tc>
      </w:tr>
      <w:tr w:rsidR="0093430C" w:rsidRPr="00EF15F1" w:rsidTr="0093430C">
        <w:trPr>
          <w:trHeight w:val="649"/>
        </w:trPr>
        <w:tc>
          <w:tcPr>
            <w:tcW w:w="2577" w:type="dxa"/>
            <w:vAlign w:val="center"/>
          </w:tcPr>
          <w:p w:rsidR="0093430C" w:rsidRPr="00034774" w:rsidRDefault="0093430C" w:rsidP="0093430C">
            <w:pPr>
              <w:jc w:val="center"/>
              <w:rPr>
                <w:sz w:val="26"/>
                <w:szCs w:val="26"/>
              </w:rPr>
            </w:pPr>
            <w:r w:rsidRPr="00034774">
              <w:rPr>
                <w:sz w:val="26"/>
                <w:szCs w:val="26"/>
              </w:rPr>
              <w:t>Керування Програмою і контроль за її реалізацією</w:t>
            </w:r>
          </w:p>
        </w:tc>
        <w:tc>
          <w:tcPr>
            <w:tcW w:w="6944" w:type="dxa"/>
          </w:tcPr>
          <w:p w:rsidR="0093430C" w:rsidRPr="00034774" w:rsidRDefault="0093430C" w:rsidP="0093430C">
            <w:pPr>
              <w:jc w:val="both"/>
              <w:rPr>
                <w:sz w:val="26"/>
                <w:szCs w:val="26"/>
              </w:rPr>
            </w:pPr>
            <w:r w:rsidRPr="00034774">
              <w:rPr>
                <w:sz w:val="26"/>
                <w:szCs w:val="26"/>
              </w:rPr>
              <w:t>Координація робіт, пов’язаних з виконанням</w:t>
            </w:r>
            <w:r>
              <w:rPr>
                <w:sz w:val="26"/>
                <w:szCs w:val="26"/>
              </w:rPr>
              <w:t xml:space="preserve"> заходів Програми,</w:t>
            </w:r>
            <w:r w:rsidRPr="00034774">
              <w:rPr>
                <w:sz w:val="26"/>
                <w:szCs w:val="26"/>
              </w:rPr>
              <w:t xml:space="preserve"> покладається</w:t>
            </w:r>
            <w:r>
              <w:rPr>
                <w:sz w:val="26"/>
                <w:szCs w:val="26"/>
              </w:rPr>
              <w:t xml:space="preserve"> на</w:t>
            </w:r>
            <w:r w:rsidR="00855DBB">
              <w:rPr>
                <w:sz w:val="26"/>
                <w:szCs w:val="26"/>
              </w:rPr>
              <w:t xml:space="preserve"> </w:t>
            </w:r>
            <w:r>
              <w:rPr>
                <w:sz w:val="26"/>
                <w:szCs w:val="26"/>
              </w:rPr>
              <w:t>відділ регіонального</w:t>
            </w:r>
            <w:r w:rsidR="006C713A">
              <w:rPr>
                <w:sz w:val="26"/>
                <w:szCs w:val="26"/>
              </w:rPr>
              <w:t xml:space="preserve"> розвитку райдержадміністрації</w:t>
            </w:r>
            <w:r w:rsidR="00855DBB">
              <w:rPr>
                <w:sz w:val="26"/>
                <w:szCs w:val="26"/>
              </w:rPr>
              <w:t xml:space="preserve"> та відділ містобудування та архітектури райдержадміністрації.</w:t>
            </w:r>
          </w:p>
        </w:tc>
      </w:tr>
    </w:tbl>
    <w:p w:rsidR="007F28E5" w:rsidRDefault="007F28E5"/>
    <w:sectPr w:rsidR="007F28E5" w:rsidSect="00C114D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703"/>
    <w:rsid w:val="00035703"/>
    <w:rsid w:val="004D6B3D"/>
    <w:rsid w:val="004F5B0B"/>
    <w:rsid w:val="006C713A"/>
    <w:rsid w:val="007F28E5"/>
    <w:rsid w:val="00855DBB"/>
    <w:rsid w:val="0093430C"/>
    <w:rsid w:val="00A8476C"/>
    <w:rsid w:val="00B85AEF"/>
    <w:rsid w:val="00C11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30C"/>
    <w:rPr>
      <w:rFonts w:ascii="Segoe UI" w:hAnsi="Segoe UI" w:cs="Segoe UI"/>
      <w:sz w:val="18"/>
      <w:szCs w:val="18"/>
    </w:rPr>
  </w:style>
  <w:style w:type="character" w:customStyle="1" w:styleId="a4">
    <w:name w:val="Текст выноски Знак"/>
    <w:basedOn w:val="a0"/>
    <w:link w:val="a3"/>
    <w:uiPriority w:val="99"/>
    <w:semiHidden/>
    <w:rsid w:val="0093430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dc:creator>
  <cp:keywords/>
  <dc:description/>
  <cp:lastModifiedBy>Пользователь Windows</cp:lastModifiedBy>
  <cp:revision>6</cp:revision>
  <cp:lastPrinted>2020-04-10T08:15:00Z</cp:lastPrinted>
  <dcterms:created xsi:type="dcterms:W3CDTF">2020-04-09T12:06:00Z</dcterms:created>
  <dcterms:modified xsi:type="dcterms:W3CDTF">2020-04-10T08:15:00Z</dcterms:modified>
</cp:coreProperties>
</file>