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4" w:rsidRPr="00480A63" w:rsidRDefault="00F673B4" w:rsidP="00F673B4">
      <w:pPr>
        <w:pageBreakBefore/>
        <w:tabs>
          <w:tab w:val="left" w:pos="4820"/>
          <w:tab w:val="left" w:pos="751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 w:rsidRPr="00480A63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673B4" w:rsidRPr="006C073C" w:rsidRDefault="00F673B4" w:rsidP="00F673B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820"/>
        <w:jc w:val="both"/>
        <w:rPr>
          <w:b w:val="0"/>
          <w:sz w:val="28"/>
          <w:szCs w:val="28"/>
        </w:rPr>
      </w:pPr>
      <w:r w:rsidRPr="00480A63">
        <w:rPr>
          <w:b w:val="0"/>
          <w:sz w:val="28"/>
          <w:szCs w:val="28"/>
        </w:rPr>
        <w:t>до Порядку</w:t>
      </w:r>
      <w:r w:rsidRPr="006C073C">
        <w:rPr>
          <w:sz w:val="28"/>
          <w:szCs w:val="28"/>
        </w:rPr>
        <w:t xml:space="preserve"> </w:t>
      </w:r>
      <w:r w:rsidRPr="006C073C">
        <w:rPr>
          <w:b w:val="0"/>
          <w:sz w:val="28"/>
          <w:szCs w:val="28"/>
        </w:rPr>
        <w:t xml:space="preserve">організації роботи із                                                                        </w:t>
      </w:r>
    </w:p>
    <w:p w:rsidR="00F673B4" w:rsidRPr="006C073C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>впровадження механізмів заохочення</w:t>
      </w:r>
    </w:p>
    <w:p w:rsidR="00F673B4" w:rsidRPr="006C073C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>викривачів та формування культури</w:t>
      </w:r>
    </w:p>
    <w:p w:rsidR="00F673B4" w:rsidRPr="006C073C" w:rsidRDefault="00F673B4" w:rsidP="00F673B4">
      <w:pPr>
        <w:pStyle w:val="3"/>
        <w:shd w:val="clear" w:color="auto" w:fill="auto"/>
        <w:spacing w:before="0"/>
        <w:ind w:right="180" w:firstLine="4820"/>
        <w:jc w:val="left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>повідомлення про можливі факти</w:t>
      </w:r>
    </w:p>
    <w:p w:rsidR="00F673B4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 xml:space="preserve">корупційних або пов’язаних із </w:t>
      </w:r>
    </w:p>
    <w:p w:rsidR="00F673B4" w:rsidRPr="006C073C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>корупцією правопорушень, інших</w:t>
      </w:r>
    </w:p>
    <w:p w:rsidR="00F673B4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 xml:space="preserve">порушень Закону України „Про  </w:t>
      </w:r>
    </w:p>
    <w:p w:rsidR="00F673B4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 xml:space="preserve">запобігання корупції” в </w:t>
      </w:r>
    </w:p>
    <w:p w:rsidR="00F673B4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 xml:space="preserve">Ужгородській районній державній   </w:t>
      </w:r>
    </w:p>
    <w:p w:rsidR="00486B0A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C073C">
        <w:rPr>
          <w:b w:val="0"/>
          <w:sz w:val="28"/>
          <w:szCs w:val="28"/>
        </w:rPr>
        <w:t>дміністрації</w:t>
      </w:r>
      <w:r>
        <w:rPr>
          <w:b w:val="0"/>
          <w:sz w:val="28"/>
          <w:szCs w:val="28"/>
        </w:rPr>
        <w:t xml:space="preserve"> – </w:t>
      </w:r>
      <w:r w:rsidR="00486B0A">
        <w:rPr>
          <w:b w:val="0"/>
          <w:sz w:val="28"/>
          <w:szCs w:val="28"/>
        </w:rPr>
        <w:t>районній військовій</w:t>
      </w:r>
    </w:p>
    <w:p w:rsidR="00F673B4" w:rsidRPr="006C073C" w:rsidRDefault="00F673B4" w:rsidP="00F673B4">
      <w:pPr>
        <w:pStyle w:val="3"/>
        <w:shd w:val="clear" w:color="auto" w:fill="auto"/>
        <w:spacing w:before="0"/>
        <w:ind w:right="180" w:firstLine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адміністрації</w:t>
      </w:r>
    </w:p>
    <w:p w:rsidR="00F673B4" w:rsidRPr="00840CDB" w:rsidRDefault="00F673B4" w:rsidP="00F673B4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CDB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CDB">
        <w:rPr>
          <w:rFonts w:ascii="Times New Roman" w:hAnsi="Times New Roman"/>
          <w:b/>
          <w:sz w:val="28"/>
          <w:szCs w:val="28"/>
          <w:lang w:val="uk-UA"/>
        </w:rPr>
        <w:t>щодо загальних правил етичної поведінки працівників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CDB">
        <w:rPr>
          <w:rFonts w:ascii="Times New Roman" w:hAnsi="Times New Roman"/>
          <w:b/>
          <w:sz w:val="28"/>
          <w:szCs w:val="28"/>
          <w:lang w:val="uk-UA"/>
        </w:rPr>
        <w:t xml:space="preserve">Ужгородської районної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</w:p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районної військової адміністрації</w:t>
      </w:r>
    </w:p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73B4" w:rsidRDefault="00F673B4" w:rsidP="003275F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CDB">
        <w:rPr>
          <w:rFonts w:ascii="Times New Roman" w:hAnsi="Times New Roman"/>
          <w:sz w:val="28"/>
          <w:szCs w:val="28"/>
          <w:lang w:val="uk-UA"/>
        </w:rPr>
        <w:t xml:space="preserve">        Основним принципом діяльності працівників Ужгородської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660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 військо</w:t>
      </w:r>
      <w:r w:rsidR="006660B6">
        <w:rPr>
          <w:rFonts w:ascii="Times New Roman" w:hAnsi="Times New Roman"/>
          <w:sz w:val="28"/>
          <w:szCs w:val="28"/>
          <w:lang w:val="uk-UA"/>
        </w:rPr>
        <w:t xml:space="preserve">вої адміністрації </w:t>
      </w:r>
      <w:r>
        <w:rPr>
          <w:rFonts w:ascii="Times New Roman" w:hAnsi="Times New Roman"/>
          <w:sz w:val="28"/>
          <w:szCs w:val="28"/>
          <w:lang w:val="uk-UA"/>
        </w:rPr>
        <w:t>(далі – районна державна адміністрація – районна військова адміністрація)</w:t>
      </w:r>
      <w:r w:rsidRPr="008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має бути доброчесність, тобто їх дії мають бути спрямовані на захист публічних інтересів та відмову від превалювання приватного інтересу під час </w:t>
      </w:r>
      <w:r>
        <w:rPr>
          <w:rFonts w:ascii="Times New Roman" w:hAnsi="Times New Roman"/>
          <w:sz w:val="28"/>
          <w:szCs w:val="28"/>
          <w:lang w:val="uk-UA"/>
        </w:rPr>
        <w:t>здійснення наданих повноважень особи уповноваженої на функції держави.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b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 зобов’язані:</w:t>
      </w:r>
    </w:p>
    <w:p w:rsidR="00F673B4" w:rsidRPr="00210570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неухильно додержуватись загальновизнаних етичних норм поведінки, бути ввічливими у стосунках з громадянами, керівниками, колегами і підлеглими як під час виконання своїх службових повноважень, так і в </w:t>
      </w:r>
      <w:r w:rsidRPr="00210570">
        <w:rPr>
          <w:rFonts w:ascii="Times New Roman" w:hAnsi="Times New Roman"/>
          <w:sz w:val="28"/>
          <w:szCs w:val="28"/>
          <w:lang w:val="uk-UA"/>
        </w:rPr>
        <w:t xml:space="preserve">повсякденному житті;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570">
        <w:rPr>
          <w:rFonts w:ascii="Times New Roman" w:hAnsi="Times New Roman"/>
          <w:sz w:val="28"/>
          <w:szCs w:val="28"/>
          <w:lang w:val="uk-UA"/>
        </w:rPr>
        <w:t xml:space="preserve">        діяти виключно в інтересах держави, територіальної громади, районної державної адміністрації – районної військової адміністрації,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яку вони представляють;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не допускати зловживань та неефективного використання власності держави,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70">
        <w:rPr>
          <w:rFonts w:ascii="Times New Roman" w:hAnsi="Times New Roman"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дотримуватись політичної нейтральності, уникати демонстрації у будь-якому вигляді власних політичних переконань або поглядів;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утримуватись від виконання рішень чи доручень керівництва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70">
        <w:rPr>
          <w:rFonts w:ascii="Times New Roman" w:hAnsi="Times New Roman"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, якщо вони суперечать закону;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не вчиняти і не брати участі у вчиненні корупційного або пов’язаного з корупцією правопорушення;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невідкладно 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голову </w:t>
      </w:r>
      <w:r w:rsidRPr="00210570"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Pr="00210570">
        <w:rPr>
          <w:rFonts w:ascii="Times New Roman" w:hAnsi="Times New Roman"/>
          <w:sz w:val="28"/>
          <w:szCs w:val="28"/>
          <w:lang w:val="uk-UA"/>
        </w:rPr>
        <w:t>районної військової адміністрації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уповноважений підрозділ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, про можливі випадки корупційного або пов’язаного з корупцією правопорушення;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70D77">
        <w:rPr>
          <w:rFonts w:ascii="Times New Roman" w:hAnsi="Times New Roman"/>
          <w:sz w:val="28"/>
          <w:szCs w:val="28"/>
          <w:lang w:val="uk-UA"/>
        </w:rPr>
        <w:t>вживати заходів щодо недопущення виникнення та врегулювання реального, потенційного конфлікту інтересів.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Працівникам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заборонено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використовувати службові повноваження в інтересах політичних партій чи їх осередків або окремих політиків.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Default="00F673B4" w:rsidP="00F673B4">
      <w:pPr>
        <w:pageBreakBefore/>
        <w:rPr>
          <w:lang w:val="uk-UA"/>
        </w:rPr>
        <w:sectPr w:rsidR="00F673B4" w:rsidSect="003275F1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673B4" w:rsidRPr="00952106" w:rsidRDefault="00F673B4" w:rsidP="00F673B4">
      <w:pPr>
        <w:pageBreakBefore/>
        <w:tabs>
          <w:tab w:val="left" w:pos="4962"/>
          <w:tab w:val="left" w:pos="7515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  <w:r w:rsidRPr="00952106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до Порядку організації роботи із                                                                        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впровадження механізмів заохочення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викривачів та формування культури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left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повідомлення про можливі факти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корупційних або пов’язаних із 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корупцією правопорушень, інших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порушень Закону України „Про  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запобігання корупції” в </w:t>
      </w:r>
    </w:p>
    <w:p w:rsidR="00F673B4" w:rsidRPr="006660B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6660B6">
        <w:rPr>
          <w:b w:val="0"/>
          <w:sz w:val="28"/>
          <w:szCs w:val="28"/>
        </w:rPr>
        <w:t xml:space="preserve">Ужгородській районній державній   </w:t>
      </w:r>
    </w:p>
    <w:p w:rsidR="006660B6" w:rsidRPr="006660B6" w:rsidRDefault="00F673B4" w:rsidP="006660B6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6660B6">
        <w:rPr>
          <w:b w:val="0"/>
          <w:sz w:val="28"/>
          <w:szCs w:val="28"/>
        </w:rPr>
        <w:t xml:space="preserve">адміністрації – </w:t>
      </w:r>
      <w:r w:rsidR="006660B6" w:rsidRPr="006660B6">
        <w:rPr>
          <w:b w:val="0"/>
          <w:sz w:val="28"/>
          <w:szCs w:val="28"/>
        </w:rPr>
        <w:t>районній військовій</w:t>
      </w:r>
    </w:p>
    <w:p w:rsidR="00F673B4" w:rsidRPr="006660B6" w:rsidRDefault="00F673B4" w:rsidP="006660B6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6660B6">
        <w:rPr>
          <w:b w:val="0"/>
          <w:sz w:val="28"/>
          <w:szCs w:val="28"/>
        </w:rPr>
        <w:t>адміністрації</w:t>
      </w:r>
    </w:p>
    <w:p w:rsidR="00F673B4" w:rsidRPr="00952106" w:rsidRDefault="00F673B4" w:rsidP="00F673B4">
      <w:pPr>
        <w:tabs>
          <w:tab w:val="left" w:pos="7515"/>
        </w:tabs>
        <w:spacing w:after="0"/>
        <w:ind w:firstLine="4962"/>
        <w:rPr>
          <w:rFonts w:ascii="Times New Roman" w:hAnsi="Times New Roman"/>
          <w:lang w:val="uk-UA"/>
        </w:rPr>
      </w:pPr>
    </w:p>
    <w:p w:rsidR="00F673B4" w:rsidRPr="001A4987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D77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1A4987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4987">
        <w:rPr>
          <w:rFonts w:ascii="Times New Roman" w:hAnsi="Times New Roman"/>
          <w:b/>
          <w:sz w:val="28"/>
          <w:szCs w:val="28"/>
          <w:lang w:val="uk-UA"/>
        </w:rPr>
        <w:t>щодо правового статусу викривача, прав та гарантій його захисту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Ужгородській районній державній</w:t>
      </w:r>
      <w:r w:rsidRPr="00170D77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районній військовій адміністрації</w:t>
      </w:r>
    </w:p>
    <w:p w:rsidR="00F673B4" w:rsidRPr="00B50E6B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73B4" w:rsidRPr="00B50E6B" w:rsidRDefault="00F673B4" w:rsidP="00F673B4">
      <w:pPr>
        <w:pStyle w:val="3"/>
        <w:shd w:val="clear" w:color="auto" w:fill="auto"/>
        <w:spacing w:before="0" w:line="240" w:lineRule="auto"/>
        <w:ind w:right="-1" w:firstLine="567"/>
        <w:jc w:val="both"/>
        <w:rPr>
          <w:b w:val="0"/>
          <w:sz w:val="28"/>
          <w:szCs w:val="28"/>
        </w:rPr>
      </w:pPr>
      <w:r w:rsidRPr="00B50E6B">
        <w:rPr>
          <w:color w:val="000000" w:themeColor="text1"/>
          <w:sz w:val="28"/>
          <w:szCs w:val="28"/>
          <w:shd w:val="clear" w:color="auto" w:fill="FFFFFF"/>
        </w:rPr>
        <w:t xml:space="preserve">Викривач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–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 України </w:t>
      </w:r>
      <w:r w:rsidRPr="00B50E6B">
        <w:rPr>
          <w:b w:val="0"/>
          <w:sz w:val="28"/>
          <w:szCs w:val="28"/>
        </w:rPr>
        <w:t xml:space="preserve">„Про </w:t>
      </w:r>
      <w:r w:rsidRPr="00900F85">
        <w:rPr>
          <w:b w:val="0"/>
          <w:sz w:val="28"/>
          <w:szCs w:val="28"/>
        </w:rPr>
        <w:t>запобігання корупції”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>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</w:t>
      </w:r>
      <w:r w:rsidRPr="00030D83">
        <w:rPr>
          <w:b w:val="0"/>
          <w:color w:val="auto"/>
          <w:sz w:val="28"/>
          <w:szCs w:val="28"/>
          <w:shd w:val="clear" w:color="auto" w:fill="FFFFFF"/>
        </w:rPr>
        <w:t xml:space="preserve">у 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>такої діяльності, проходження служби чи навчання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D17FB">
        <w:rPr>
          <w:color w:val="000000" w:themeColor="text1"/>
          <w:sz w:val="28"/>
          <w:szCs w:val="28"/>
        </w:rPr>
        <w:t xml:space="preserve">овідомлення викривача має містити інформацію про факти корупційних або пов’язаних з корупцією правопорушень, інших порушень Закону України </w:t>
      </w:r>
      <w:r>
        <w:rPr>
          <w:sz w:val="28"/>
          <w:szCs w:val="28"/>
        </w:rPr>
        <w:t xml:space="preserve">„Про </w:t>
      </w:r>
      <w:r w:rsidRPr="00900F85">
        <w:rPr>
          <w:sz w:val="28"/>
          <w:szCs w:val="28"/>
        </w:rPr>
        <w:t>запобігання корупції”</w:t>
      </w:r>
      <w:r w:rsidRPr="002D17FB">
        <w:rPr>
          <w:color w:val="000000" w:themeColor="text1"/>
          <w:sz w:val="28"/>
          <w:szCs w:val="28"/>
        </w:rPr>
        <w:t>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</w:t>
      </w:r>
      <w:r>
        <w:rPr>
          <w:color w:val="000000" w:themeColor="text1"/>
          <w:sz w:val="28"/>
          <w:szCs w:val="28"/>
        </w:rPr>
        <w:t xml:space="preserve"> особу, яка його вчинила, тощо). 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Важливим є той фактор, що така і</w:t>
      </w:r>
      <w:r w:rsidRPr="002D17FB">
        <w:rPr>
          <w:color w:val="000000" w:themeColor="text1"/>
          <w:sz w:val="28"/>
          <w:szCs w:val="28"/>
        </w:rPr>
        <w:t>нформація стала відома викривачу у зв’язку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673B4" w:rsidRPr="00B50E6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0E6B">
        <w:rPr>
          <w:b/>
          <w:color w:val="000000" w:themeColor="text1"/>
          <w:sz w:val="28"/>
          <w:szCs w:val="28"/>
        </w:rPr>
        <w:t>Викривач має такі права: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бути повідомленим про його права та обов’язки;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отримання інформації про стан та результати розгляду;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подавати докази, давати пояснення, свідчення або відмовитися їх давати;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безоплатну правову допомогу у зв’язку із захистом прав викривача;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конфіденційність та анонімність;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lastRenderedPageBreak/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винагороду;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отримання психологічної допомоги;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звільнення від юридичної відповідальності у визначених випадках.  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673B4" w:rsidRPr="00B50E6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0E6B">
        <w:rPr>
          <w:b/>
          <w:color w:val="000000" w:themeColor="text1"/>
          <w:sz w:val="28"/>
          <w:szCs w:val="28"/>
        </w:rPr>
        <w:t>Викривач має такі гарантії: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захист трудових прав викривача (заборона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загрози таких заходів впливу у зв’язку з повідомленням про корупцію);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виплата заробітку за час вимушеного прогулу та грошових компенсацій за порушення його трудових прав.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673B4" w:rsidRPr="0041484F" w:rsidRDefault="00F673B4" w:rsidP="00F673B4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1484F">
        <w:rPr>
          <w:b/>
          <w:color w:val="000000" w:themeColor="text1"/>
          <w:sz w:val="28"/>
          <w:szCs w:val="28"/>
        </w:rPr>
        <w:t>Викривач може звернутися за захистом своїх прав до: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 xml:space="preserve">уповноваженого підрозділу </w:t>
      </w:r>
      <w:r>
        <w:rPr>
          <w:color w:val="000000" w:themeColor="text1"/>
          <w:sz w:val="28"/>
          <w:szCs w:val="28"/>
        </w:rPr>
        <w:t xml:space="preserve">районної державної адміністрації – районної військової адміністрації </w:t>
      </w:r>
      <w:r w:rsidRPr="002D17FB">
        <w:rPr>
          <w:color w:val="000000" w:themeColor="text1"/>
          <w:sz w:val="28"/>
          <w:szCs w:val="28"/>
        </w:rPr>
        <w:t>(для забезпечення захисту від застосування негативних заходів впливу з боку</w:t>
      </w:r>
      <w:r>
        <w:rPr>
          <w:color w:val="000000" w:themeColor="text1"/>
          <w:sz w:val="28"/>
          <w:szCs w:val="28"/>
        </w:rPr>
        <w:t xml:space="preserve"> керівництва</w:t>
      </w:r>
      <w:r w:rsidRPr="002D17FB">
        <w:rPr>
          <w:color w:val="000000" w:themeColor="text1"/>
          <w:sz w:val="28"/>
          <w:szCs w:val="28"/>
        </w:rPr>
        <w:t>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Національного агентства з питань запобігання корупції (для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правоохоронних органів (для захисту життя, житла, здоров’я та майна);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центрів безоплатної правової допомоги (для отримання безоплатної вторинної правової допомоги);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суду (для захисту своїх прав і свобод).</w:t>
      </w:r>
    </w:p>
    <w:p w:rsidR="00F673B4" w:rsidRPr="00863AA4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Default="00F673B4" w:rsidP="00F673B4">
      <w:pPr>
        <w:pageBreakBefore/>
        <w:rPr>
          <w:lang w:val="uk-UA"/>
        </w:rPr>
        <w:sectPr w:rsidR="00F673B4" w:rsidSect="00486B0A">
          <w:headerReference w:type="default" r:id="rId8"/>
          <w:headerReference w:type="first" r:id="rId9"/>
          <w:pgSz w:w="11906" w:h="16838"/>
          <w:pgMar w:top="1134" w:right="567" w:bottom="1134" w:left="1701" w:header="142" w:footer="709" w:gutter="0"/>
          <w:pgNumType w:start="1"/>
          <w:cols w:space="708"/>
          <w:titlePg/>
          <w:docGrid w:linePitch="360"/>
        </w:sectPr>
      </w:pPr>
    </w:p>
    <w:p w:rsidR="00F673B4" w:rsidRPr="00952106" w:rsidRDefault="00F673B4" w:rsidP="00F673B4">
      <w:pPr>
        <w:pageBreakBefore/>
        <w:tabs>
          <w:tab w:val="left" w:pos="4962"/>
          <w:tab w:val="left" w:pos="7515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  <w:r w:rsidRPr="00952106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820"/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до Порядку організації роботи із                                                                        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впровадження механізмів заохочення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викривачів та формування культури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left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повідомлення про можливі факти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корупційних або пов’язаних із 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корупцією правопорушень, інших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порушень Закону України „Про  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запобігання корупції” в </w:t>
      </w:r>
    </w:p>
    <w:p w:rsidR="00F673B4" w:rsidRPr="0096358D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6358D">
        <w:rPr>
          <w:b w:val="0"/>
          <w:sz w:val="28"/>
          <w:szCs w:val="28"/>
        </w:rPr>
        <w:t xml:space="preserve">Ужгородській районній державній   </w:t>
      </w:r>
    </w:p>
    <w:p w:rsidR="0096358D" w:rsidRPr="0096358D" w:rsidRDefault="00F673B4" w:rsidP="0096358D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6358D">
        <w:rPr>
          <w:b w:val="0"/>
          <w:sz w:val="28"/>
          <w:szCs w:val="28"/>
        </w:rPr>
        <w:t xml:space="preserve">адміністрації – </w:t>
      </w:r>
      <w:r w:rsidR="0096358D" w:rsidRPr="0096358D">
        <w:rPr>
          <w:b w:val="0"/>
          <w:sz w:val="28"/>
          <w:szCs w:val="28"/>
        </w:rPr>
        <w:t>районній військовій</w:t>
      </w:r>
    </w:p>
    <w:p w:rsidR="00F673B4" w:rsidRPr="0096358D" w:rsidRDefault="00F673B4" w:rsidP="0096358D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6358D">
        <w:rPr>
          <w:b w:val="0"/>
          <w:sz w:val="28"/>
          <w:szCs w:val="28"/>
        </w:rPr>
        <w:t>адміністрації</w:t>
      </w:r>
    </w:p>
    <w:p w:rsidR="00F673B4" w:rsidRPr="00E977FC" w:rsidRDefault="00F673B4" w:rsidP="00F673B4">
      <w:pPr>
        <w:tabs>
          <w:tab w:val="left" w:pos="7515"/>
        </w:tabs>
        <w:spacing w:after="0" w:line="240" w:lineRule="auto"/>
        <w:rPr>
          <w:sz w:val="28"/>
          <w:lang w:val="uk-UA"/>
        </w:rPr>
      </w:pPr>
    </w:p>
    <w:p w:rsidR="00F673B4" w:rsidRPr="0041484F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484F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FD759D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59D">
        <w:rPr>
          <w:rFonts w:ascii="Times New Roman" w:hAnsi="Times New Roman"/>
          <w:b/>
          <w:sz w:val="28"/>
          <w:szCs w:val="28"/>
          <w:lang w:val="uk-UA"/>
        </w:rPr>
        <w:t>щодо каналів повідомлення про можливі факти корупційних або пов’язаних з корупцією правопорушень, інших порушень Закону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759D">
        <w:rPr>
          <w:rFonts w:ascii="Times New Roman" w:hAnsi="Times New Roman"/>
          <w:b/>
          <w:sz w:val="28"/>
          <w:szCs w:val="28"/>
          <w:lang w:val="uk-UA"/>
        </w:rPr>
        <w:t>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759D">
        <w:rPr>
          <w:rFonts w:ascii="Times New Roman" w:hAnsi="Times New Roman"/>
          <w:b/>
          <w:sz w:val="28"/>
          <w:szCs w:val="28"/>
          <w:lang w:val="uk-UA"/>
        </w:rPr>
        <w:t xml:space="preserve">в Ужгородській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="009635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районній військовій адміністрації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sz w:val="28"/>
          <w:szCs w:val="28"/>
          <w:lang w:val="uk-UA"/>
        </w:rPr>
        <w:t>Викривач самостійно визначає, які канали (внутрішні, зовнішні) використовувати для повідомлення про можливі факти корупційних або пов’язаних з корупцією правопорушень, інших порушень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„Про запобігання корупції” (далі - повідомлення) </w:t>
      </w:r>
      <w:r>
        <w:rPr>
          <w:rFonts w:ascii="Times New Roman" w:hAnsi="Times New Roman"/>
          <w:sz w:val="28"/>
          <w:szCs w:val="28"/>
          <w:lang w:val="uk-UA"/>
        </w:rPr>
        <w:t>в Ужгородській районній державній адміністрації – Ужгородській районній військовій адміністрації (далі – районна державна адміністрація – районна військова адміністрація).</w:t>
      </w:r>
    </w:p>
    <w:p w:rsidR="00F47A7E" w:rsidRPr="00D16B53" w:rsidRDefault="00F47A7E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Внутрішні канали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способи захищеного (у тому числі анонімного) повідомлення інформації викривачем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голові районної державної адміністрації – начальнику районної військової адміністрації 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або уповноваженому підрозділу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державної адміністрації – районної військової адміністрації, у якій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викривач працює, проходить службу чи навчання або на замовлення яких виконує роботу, а так само до органу вищого рівня, уповноважена особа якого здійснює контроль за дотриманням антикорупційного законодавства на підвідомчих підприємствах, в установах та організаціях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673B4" w:rsidRDefault="00F673B4" w:rsidP="00F47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Внутрішні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ми каналами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районній державній адміністрації – районній військовій адміністрації є:</w:t>
      </w:r>
    </w:p>
    <w:p w:rsidR="00F673B4" w:rsidRPr="001B2B73" w:rsidRDefault="00F673B4" w:rsidP="00F47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Pr="001B2B73">
        <w:rPr>
          <w:rFonts w:ascii="Times New Roman" w:hAnsi="Times New Roman"/>
          <w:sz w:val="28"/>
          <w:szCs w:val="28"/>
          <w:lang w:val="uk-UA"/>
        </w:rPr>
        <w:t>телефонна лінія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2081F">
        <w:rPr>
          <w:rFonts w:ascii="Times New Roman" w:hAnsi="Times New Roman"/>
          <w:sz w:val="28"/>
          <w:szCs w:val="28"/>
        </w:rPr>
        <w:t>+</w:t>
      </w:r>
      <w:r w:rsidRPr="00E20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2081F">
        <w:rPr>
          <w:rFonts w:ascii="Times New Roman" w:hAnsi="Times New Roman"/>
          <w:sz w:val="28"/>
          <w:szCs w:val="28"/>
        </w:rPr>
        <w:t>0312</w:t>
      </w:r>
      <w:r w:rsidRPr="00E2081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2081F">
        <w:rPr>
          <w:rFonts w:ascii="Times New Roman" w:hAnsi="Times New Roman"/>
          <w:sz w:val="28"/>
          <w:szCs w:val="28"/>
        </w:rPr>
        <w:t xml:space="preserve"> 6</w:t>
      </w:r>
      <w:r w:rsidRPr="00E2081F">
        <w:rPr>
          <w:rFonts w:ascii="Times New Roman" w:hAnsi="Times New Roman"/>
          <w:sz w:val="28"/>
          <w:szCs w:val="28"/>
          <w:lang w:val="uk-UA"/>
        </w:rPr>
        <w:t>1-</w:t>
      </w:r>
      <w:r w:rsidRPr="00E2081F">
        <w:rPr>
          <w:rFonts w:ascii="Times New Roman" w:hAnsi="Times New Roman"/>
          <w:sz w:val="28"/>
          <w:szCs w:val="28"/>
        </w:rPr>
        <w:t>69</w:t>
      </w:r>
      <w:r w:rsidRPr="00E2081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Pr="00F47A7E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B73">
        <w:rPr>
          <w:rFonts w:ascii="Times New Roman" w:hAnsi="Times New Roman"/>
          <w:sz w:val="28"/>
          <w:szCs w:val="28"/>
          <w:lang w:val="uk-UA"/>
        </w:rPr>
        <w:t xml:space="preserve">        засіб електронного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F47A7E">
          <w:rPr>
            <w:rStyle w:val="a6"/>
            <w:rFonts w:ascii="Times New Roman" w:hAnsi="Times New Roman"/>
            <w:bCs/>
            <w:color w:val="auto"/>
            <w:spacing w:val="3"/>
            <w:sz w:val="28"/>
            <w:szCs w:val="28"/>
            <w:u w:val="none"/>
          </w:rPr>
          <w:t>korupcia.rda@gmail.com</w:t>
        </w:r>
      </w:hyperlink>
      <w:r w:rsidRPr="00F47A7E"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E7B34">
        <w:rPr>
          <w:rFonts w:ascii="Times New Roman" w:hAnsi="Times New Roman"/>
          <w:sz w:val="28"/>
          <w:szCs w:val="28"/>
          <w:lang w:val="uk-UA"/>
        </w:rPr>
        <w:t>проведення особистого прийому голов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FE7B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 – начальником районної військової адміністрації</w:t>
      </w:r>
      <w:r w:rsidRPr="00FE7B34">
        <w:rPr>
          <w:rFonts w:ascii="Times New Roman" w:hAnsi="Times New Roman"/>
          <w:sz w:val="28"/>
          <w:szCs w:val="28"/>
          <w:lang w:val="uk-UA"/>
        </w:rPr>
        <w:t>.</w:t>
      </w:r>
    </w:p>
    <w:p w:rsidR="00F47A7E" w:rsidRDefault="00F47A7E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FE7B3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897DD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Зовнішні канали повідомлення про можливі факти корупційних або пов’язаних з корупцією правопорушень, інших порушень Закону</w:t>
      </w:r>
      <w:r w:rsidRPr="00897DD7">
        <w:rPr>
          <w:rFonts w:ascii="Times New Roman" w:hAnsi="Times New Roman"/>
          <w:b/>
          <w:sz w:val="28"/>
          <w:szCs w:val="28"/>
          <w:lang w:val="uk-UA"/>
        </w:rPr>
        <w:t xml:space="preserve"> України „Про запобігання корупції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</w:t>
      </w:r>
      <w:r w:rsidRPr="00897D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673B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</w:p>
    <w:p w:rsidR="00F673B4" w:rsidRDefault="00F673B4" w:rsidP="00F673B4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  <w:t>Зовнішніми каналами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районній державній адміністрації – районній військовій адміністрації є: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D26686">
        <w:rPr>
          <w:rFonts w:ascii="Times New Roman" w:hAnsi="Times New Roman"/>
          <w:sz w:val="28"/>
          <w:szCs w:val="28"/>
          <w:lang w:val="uk-UA"/>
        </w:rPr>
        <w:tab/>
      </w:r>
      <w:r w:rsidRPr="0027075B">
        <w:rPr>
          <w:rFonts w:ascii="Times New Roman" w:hAnsi="Times New Roman"/>
          <w:sz w:val="28"/>
          <w:szCs w:val="28"/>
          <w:lang w:val="uk-UA"/>
        </w:rPr>
        <w:t xml:space="preserve">засіб електронного </w:t>
      </w:r>
      <w:r w:rsidRPr="006B5CF7">
        <w:rPr>
          <w:rFonts w:ascii="Times New Roman" w:hAnsi="Times New Roman"/>
          <w:sz w:val="28"/>
          <w:szCs w:val="28"/>
          <w:lang w:val="uk-UA"/>
        </w:rPr>
        <w:t xml:space="preserve">зв’язку: </w:t>
      </w:r>
      <w:hyperlink r:id="rId11" w:history="1"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uzh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-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rda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@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carpathia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.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gov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.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ua</w:t>
        </w:r>
      </w:hyperlink>
      <w:r w:rsidRPr="006B5CF7"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7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27075B">
        <w:rPr>
          <w:rFonts w:ascii="Times New Roman" w:hAnsi="Times New Roman"/>
          <w:sz w:val="28"/>
          <w:szCs w:val="28"/>
          <w:lang w:val="uk-UA"/>
        </w:rPr>
        <w:t>поштова адреса районної державної адміністрації – районної військової адміністрації: вулиця Загорська, 10, місто Ужгород, 88017;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75B">
        <w:rPr>
          <w:rFonts w:ascii="Times New Roman" w:hAnsi="Times New Roman"/>
          <w:sz w:val="28"/>
          <w:szCs w:val="28"/>
          <w:lang w:val="uk-UA"/>
        </w:rPr>
        <w:t xml:space="preserve">        офіційний вебсайт: http://uzh-rda.gov.ua/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73B4" w:rsidRPr="000449D3" w:rsidRDefault="00F673B4" w:rsidP="00F673B4">
      <w:pPr>
        <w:tabs>
          <w:tab w:val="left" w:pos="567"/>
          <w:tab w:val="left" w:pos="10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Pr="008A446F" w:rsidRDefault="00F673B4" w:rsidP="00F673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451E" w:rsidRPr="00F673B4" w:rsidRDefault="00FB451E">
      <w:pPr>
        <w:rPr>
          <w:lang w:val="uk-UA"/>
        </w:rPr>
      </w:pPr>
    </w:p>
    <w:sectPr w:rsidR="00FB451E" w:rsidRPr="00F673B4" w:rsidSect="00486B0A"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45" w:rsidRDefault="005F0345" w:rsidP="00CC3B43">
      <w:pPr>
        <w:spacing w:after="0" w:line="240" w:lineRule="auto"/>
      </w:pPr>
      <w:r>
        <w:separator/>
      </w:r>
    </w:p>
  </w:endnote>
  <w:endnote w:type="continuationSeparator" w:id="1">
    <w:p w:rsidR="005F0345" w:rsidRDefault="005F0345" w:rsidP="00C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45" w:rsidRDefault="005F0345" w:rsidP="00CC3B43">
      <w:pPr>
        <w:spacing w:after="0" w:line="240" w:lineRule="auto"/>
      </w:pPr>
      <w:r>
        <w:separator/>
      </w:r>
    </w:p>
  </w:footnote>
  <w:footnote w:type="continuationSeparator" w:id="1">
    <w:p w:rsidR="005F0345" w:rsidRDefault="005F0345" w:rsidP="00C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F1" w:rsidRPr="003275F1" w:rsidRDefault="003275F1" w:rsidP="003275F1">
    <w:pPr>
      <w:pStyle w:val="a3"/>
      <w:tabs>
        <w:tab w:val="left" w:pos="4638"/>
        <w:tab w:val="center" w:pos="4819"/>
      </w:tabs>
      <w:jc w:val="center"/>
      <w:rPr>
        <w:rFonts w:ascii="Times New Roman" w:hAnsi="Times New Roman"/>
        <w:b w:val="0"/>
      </w:rPr>
    </w:pPr>
    <w:r w:rsidRPr="003275F1">
      <w:rPr>
        <w:rFonts w:ascii="Times New Roman" w:hAnsi="Times New Roman"/>
        <w:b w:val="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393077"/>
      <w:docPartObj>
        <w:docPartGallery w:val="Page Numbers (Top of Page)"/>
        <w:docPartUnique/>
      </w:docPartObj>
    </w:sdtPr>
    <w:sdtContent>
      <w:p w:rsidR="005729DA" w:rsidRDefault="005F0345">
        <w:pPr>
          <w:pStyle w:val="a3"/>
          <w:jc w:val="center"/>
        </w:pPr>
      </w:p>
      <w:p w:rsidR="0072415B" w:rsidRDefault="00183273">
        <w:pPr>
          <w:pStyle w:val="a3"/>
          <w:jc w:val="center"/>
        </w:pPr>
        <w:r w:rsidRPr="005729DA">
          <w:rPr>
            <w:rFonts w:ascii="Times New Roman" w:hAnsi="Times New Roman"/>
            <w:b w:val="0"/>
            <w:szCs w:val="28"/>
          </w:rPr>
          <w:fldChar w:fldCharType="begin"/>
        </w:r>
        <w:r w:rsidR="00FB451E" w:rsidRPr="005729DA">
          <w:rPr>
            <w:rFonts w:ascii="Times New Roman" w:hAnsi="Times New Roman"/>
            <w:b w:val="0"/>
            <w:szCs w:val="28"/>
          </w:rPr>
          <w:instrText xml:space="preserve"> PAGE   \* MERGEFORMAT </w:instrText>
        </w:r>
        <w:r w:rsidRPr="005729DA">
          <w:rPr>
            <w:rFonts w:ascii="Times New Roman" w:hAnsi="Times New Roman"/>
            <w:b w:val="0"/>
            <w:szCs w:val="28"/>
          </w:rPr>
          <w:fldChar w:fldCharType="separate"/>
        </w:r>
        <w:r w:rsidR="00EF4EC3">
          <w:rPr>
            <w:rFonts w:ascii="Times New Roman" w:hAnsi="Times New Roman"/>
            <w:b w:val="0"/>
            <w:noProof/>
            <w:szCs w:val="28"/>
          </w:rPr>
          <w:t>2</w:t>
        </w:r>
        <w:r w:rsidRPr="005729DA">
          <w:rPr>
            <w:rFonts w:ascii="Times New Roman" w:hAnsi="Times New Roman"/>
            <w:b w:val="0"/>
            <w:szCs w:val="28"/>
          </w:rPr>
          <w:fldChar w:fldCharType="end"/>
        </w:r>
      </w:p>
    </w:sdtContent>
  </w:sdt>
  <w:p w:rsidR="00C83669" w:rsidRPr="00C96208" w:rsidRDefault="005F0345">
    <w:pPr>
      <w:pStyle w:val="a3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B" w:rsidRPr="006F744D" w:rsidRDefault="005F0345" w:rsidP="006F7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3B4"/>
    <w:rsid w:val="00031706"/>
    <w:rsid w:val="00183273"/>
    <w:rsid w:val="003275F1"/>
    <w:rsid w:val="00486B0A"/>
    <w:rsid w:val="005F0345"/>
    <w:rsid w:val="006660B6"/>
    <w:rsid w:val="006B5CF7"/>
    <w:rsid w:val="0096358D"/>
    <w:rsid w:val="00BE47F9"/>
    <w:rsid w:val="00CC3B43"/>
    <w:rsid w:val="00D354B5"/>
    <w:rsid w:val="00EF4EC3"/>
    <w:rsid w:val="00F47A7E"/>
    <w:rsid w:val="00F673B4"/>
    <w:rsid w:val="00FB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3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b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673B4"/>
    <w:rPr>
      <w:rFonts w:ascii="Calibri" w:eastAsia="Times New Roman" w:hAnsi="Calibri" w:cs="Times New Roman"/>
      <w:b/>
      <w:sz w:val="28"/>
      <w:szCs w:val="20"/>
      <w:lang w:val="uk-UA"/>
    </w:rPr>
  </w:style>
  <w:style w:type="paragraph" w:customStyle="1" w:styleId="3">
    <w:name w:val="Основной текст (3)"/>
    <w:basedOn w:val="a"/>
    <w:rsid w:val="00F673B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styleId="a5">
    <w:name w:val="Normal (Web)"/>
    <w:basedOn w:val="a"/>
    <w:uiPriority w:val="99"/>
    <w:unhideWhenUsed/>
    <w:rsid w:val="00F6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F673B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zh-rda@carpathia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rupcia.rda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559F-A9A8-4F1A-929C-31566E2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cp:lastPrinted>2023-08-08T10:52:00Z</cp:lastPrinted>
  <dcterms:created xsi:type="dcterms:W3CDTF">2023-08-07T09:40:00Z</dcterms:created>
  <dcterms:modified xsi:type="dcterms:W3CDTF">2023-08-08T10:55:00Z</dcterms:modified>
</cp:coreProperties>
</file>