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2"/>
        <w:rPr>
          <w:sz w:val="28"/>
        </w:rPr>
      </w:pPr>
      <w:r>
        <w:rPr>
          <w:lang w:val="ru-RU"/>
        </w:rPr>
        <w:t xml:space="preserve">    </w:t>
      </w:r>
      <w:r>
        <w:rPr>
          <w:lang w:val="ru-RU"/>
        </w:rPr>
        <w:tab/>
      </w:r>
      <w:r>
        <w:rPr>
          <w:sz w:val="28"/>
          <w:lang w:val="ru-RU"/>
        </w:rPr>
        <w:t xml:space="preserve">                                   </w:t>
      </w:r>
      <w:r>
        <w:rPr>
          <w:sz w:val="28"/>
        </w:rPr>
        <w:t xml:space="preserve"> </w:t>
      </w:r>
      <w:r>
        <w:rPr>
          <w:sz w:val="28"/>
          <w:lang w:val="ru-RU"/>
        </w:rPr>
        <w:t xml:space="preserve">                                   </w:t>
      </w:r>
      <w:r>
        <w:rPr>
          <w:sz w:val="28"/>
        </w:rPr>
        <w:t>ЗАТВЕРДЖЕНО</w:t>
      </w:r>
    </w:p>
    <w:p>
      <w:pPr>
        <w:pStyle w:val="12"/>
        <w:ind w:left="5670" w:hanging="0"/>
        <w:jc w:val="left"/>
        <w:rPr>
          <w:sz w:val="28"/>
        </w:rPr>
      </w:pPr>
      <w:r>
        <w:rPr>
          <w:sz w:val="28"/>
        </w:rPr>
        <w:t xml:space="preserve">Розпорядження голови          </w:t>
      </w:r>
      <w:r>
        <w:rPr>
          <w:sz w:val="28"/>
          <w:lang w:val="ru-RU"/>
        </w:rPr>
        <w:t xml:space="preserve">                </w:t>
      </w:r>
      <w:r>
        <w:rPr>
          <w:sz w:val="28"/>
        </w:rPr>
        <w:t xml:space="preserve">державної адміністрації </w:t>
      </w:r>
    </w:p>
    <w:p>
      <w:pPr>
        <w:pStyle w:val="12"/>
        <w:ind w:left="5387" w:hanging="0"/>
        <w:jc w:val="left"/>
        <w:rPr>
          <w:u w:val="none"/>
        </w:rPr>
      </w:pPr>
      <w:r>
        <w:rPr>
          <w:sz w:val="28"/>
          <w:szCs w:val="24"/>
          <w:u w:val="none"/>
          <w:lang w:val="uk-UA" w:eastAsia="uk-UA"/>
        </w:rPr>
        <w:t xml:space="preserve">     </w:t>
      </w:r>
      <w:r>
        <w:rPr>
          <w:sz w:val="28"/>
          <w:szCs w:val="24"/>
          <w:u w:val="single"/>
          <w:lang w:val="uk-UA" w:eastAsia="uk-UA"/>
        </w:rPr>
        <w:t>01.08.2017</w:t>
      </w:r>
      <w:r>
        <w:rPr>
          <w:sz w:val="28"/>
          <w:szCs w:val="24"/>
          <w:u w:val="single"/>
          <w:lang w:val="ru-RU" w:eastAsia="uk-UA"/>
        </w:rPr>
        <w:t xml:space="preserve"> № 212</w:t>
      </w:r>
    </w:p>
    <w:p>
      <w:pPr>
        <w:pStyle w:val="Normal"/>
        <w:spacing w:before="0" w:after="0"/>
        <w:contextualSpacing/>
        <w:rPr>
          <w:rFonts w:ascii="Times New Roman" w:hAnsi="Times New Roman" w:cs="Times New Roman"/>
          <w:b/>
          <w:b/>
          <w:bCs/>
          <w:sz w:val="28"/>
          <w:szCs w:val="28"/>
          <w:lang w:val="ru-RU"/>
        </w:rPr>
      </w:pPr>
      <w:r>
        <w:rPr>
          <w:rFonts w:cs="Times New Roman" w:ascii="Times New Roman" w:hAnsi="Times New Roman"/>
          <w:b/>
          <w:bCs/>
          <w:sz w:val="28"/>
          <w:szCs w:val="28"/>
          <w:lang w:val="ru-RU"/>
        </w:rPr>
      </w:r>
    </w:p>
    <w:p>
      <w:pPr>
        <w:pStyle w:val="NoSpacing"/>
        <w:jc w:val="center"/>
        <w:rPr>
          <w:sz w:val="28"/>
          <w:szCs w:val="28"/>
        </w:rPr>
      </w:pPr>
      <w:r>
        <w:rPr>
          <w:rFonts w:cs="Times New Roman" w:ascii="Times New Roman" w:hAnsi="Times New Roman"/>
          <w:b/>
          <w:bCs/>
          <w:sz w:val="28"/>
          <w:szCs w:val="28"/>
          <w:u w:val="none"/>
        </w:rPr>
        <w:t>Інформаційна картка адміністративної послуги щодо</w:t>
      </w:r>
    </w:p>
    <w:p>
      <w:pPr>
        <w:pStyle w:val="NoSpacing"/>
        <w:jc w:val="center"/>
        <w:rPr>
          <w:sz w:val="28"/>
          <w:szCs w:val="28"/>
        </w:rPr>
      </w:pPr>
      <w:r>
        <w:rPr>
          <w:rFonts w:cs="Times New Roman" w:ascii="Times New Roman" w:hAnsi="Times New Roman"/>
          <w:b/>
          <w:bCs/>
          <w:color w:val="000000"/>
          <w:sz w:val="28"/>
          <w:szCs w:val="28"/>
          <w:u w:val="none"/>
        </w:rPr>
        <w:t>державної реєстрації обтяжень речових прав на нерухоме майно</w:t>
      </w:r>
    </w:p>
    <w:p>
      <w:pPr>
        <w:pStyle w:val="NoSpacing"/>
        <w:jc w:val="center"/>
        <w:rPr>
          <w:sz w:val="28"/>
          <w:szCs w:val="28"/>
        </w:rPr>
      </w:pPr>
      <w:r>
        <w:rPr>
          <w:rFonts w:cs="Times New Roman" w:ascii="Times New Roman" w:hAnsi="Times New Roman"/>
          <w:bCs/>
          <w:color w:val="000000"/>
          <w:sz w:val="28"/>
          <w:szCs w:val="28"/>
        </w:rPr>
        <w:t>(назва адміністративної послуги)</w:t>
      </w:r>
    </w:p>
    <w:p>
      <w:pPr>
        <w:pStyle w:val="Normal"/>
        <w:shd w:val="clear" w:color="auto" w:fill="FFFFFF"/>
        <w:spacing w:before="0" w:after="198"/>
        <w:contextualSpacing/>
        <w:jc w:val="center"/>
        <w:rPr>
          <w:rFonts w:ascii="Times New Roman" w:hAnsi="Times New Roman" w:cs="Times New Roman"/>
          <w:b/>
          <w:b/>
          <w:bCs/>
          <w:color w:val="000000"/>
          <w:sz w:val="28"/>
          <w:szCs w:val="28"/>
          <w:u w:val="single"/>
        </w:rPr>
      </w:pPr>
      <w:r>
        <w:rPr>
          <w:rFonts w:cs="Times New Roman" w:ascii="Times New Roman" w:hAnsi="Times New Roman"/>
          <w:b/>
          <w:bCs/>
          <w:color w:val="000000"/>
          <w:sz w:val="28"/>
          <w:szCs w:val="28"/>
          <w:u w:val="single"/>
        </w:rPr>
        <w:t>Ужгородськ</w:t>
      </w:r>
      <w:r>
        <w:rPr>
          <w:rFonts w:cs="Times New Roman" w:ascii="Times New Roman" w:hAnsi="Times New Roman"/>
          <w:b/>
          <w:bCs/>
          <w:color w:val="000000"/>
          <w:sz w:val="28"/>
          <w:szCs w:val="28"/>
          <w:u w:val="single"/>
          <w:lang w:val="ru-RU"/>
        </w:rPr>
        <w:t>а</w:t>
      </w:r>
      <w:r>
        <w:rPr>
          <w:rFonts w:cs="Times New Roman" w:ascii="Times New Roman" w:hAnsi="Times New Roman"/>
          <w:b/>
          <w:bCs/>
          <w:color w:val="000000"/>
          <w:sz w:val="28"/>
          <w:szCs w:val="28"/>
          <w:u w:val="single"/>
        </w:rPr>
        <w:t xml:space="preserve"> районна державна адміністрація Закарпатської області</w:t>
      </w:r>
    </w:p>
    <w:p>
      <w:pPr>
        <w:pStyle w:val="Normal"/>
        <w:shd w:val="clear" w:color="auto" w:fill="FFFFFF"/>
        <w:spacing w:before="0" w:after="198"/>
        <w:contextualSpacing/>
        <w:jc w:val="center"/>
        <w:rPr>
          <w:rFonts w:ascii="Times New Roman" w:hAnsi="Times New Roman" w:cs="Times New Roman"/>
          <w:b/>
          <w:b/>
          <w:bCs/>
          <w:color w:val="000000"/>
          <w:sz w:val="28"/>
          <w:szCs w:val="28"/>
          <w:u w:val="single"/>
        </w:rPr>
      </w:pPr>
      <w:r>
        <w:rPr>
          <w:rFonts w:cs="Times New Roman" w:ascii="Times New Roman" w:hAnsi="Times New Roman"/>
          <w:sz w:val="28"/>
          <w:szCs w:val="28"/>
        </w:rPr>
        <w:t>(Найменування суб’єкта надання послуги)</w:t>
      </w:r>
    </w:p>
    <w:p>
      <w:pPr>
        <w:pStyle w:val="NoSpacing"/>
        <w:jc w:val="center"/>
        <w:rPr>
          <w:rFonts w:ascii="Times New Roman" w:hAnsi="Times New Roman" w:cs="Times New Roman"/>
          <w:bCs/>
          <w:color w:val="000000"/>
          <w:sz w:val="28"/>
          <w:szCs w:val="28"/>
          <w:u w:val="single"/>
        </w:rPr>
      </w:pPr>
      <w:r>
        <w:rPr>
          <w:rFonts w:cs="Times New Roman" w:ascii="Times New Roman" w:hAnsi="Times New Roman"/>
          <w:bCs/>
          <w:color w:val="000000"/>
          <w:sz w:val="28"/>
          <w:szCs w:val="28"/>
          <w:u w:val="single"/>
        </w:rPr>
      </w:r>
    </w:p>
    <w:tbl>
      <w:tblPr>
        <w:tblW w:w="9370" w:type="dxa"/>
        <w:jc w:val="left"/>
        <w:tblInd w:w="8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val="04a0"/>
      </w:tblPr>
      <w:tblGrid>
        <w:gridCol w:w="540"/>
        <w:gridCol w:w="27"/>
        <w:gridCol w:w="2819"/>
        <w:gridCol w:w="34"/>
        <w:gridCol w:w="5950"/>
      </w:tblGrid>
      <w:tr>
        <w:trPr>
          <w:trHeight w:val="630" w:hRule="atLeast"/>
          <w:cantSplit w:val="true"/>
        </w:trPr>
        <w:tc>
          <w:tcPr>
            <w:tcW w:w="937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hd w:val="clear" w:color="auto" w:fill="FFFFFF"/>
              <w:spacing w:lineRule="auto" w:line="276"/>
              <w:jc w:val="center"/>
              <w:rPr>
                <w:sz w:val="28"/>
                <w:szCs w:val="28"/>
              </w:rPr>
            </w:pPr>
            <w:r>
              <w:rPr>
                <w:rFonts w:cs="Times New Roman" w:ascii="Times New Roman" w:hAnsi="Times New Roman"/>
                <w:b/>
                <w:sz w:val="28"/>
                <w:szCs w:val="28"/>
                <w:lang w:eastAsia="uk-UA"/>
              </w:rPr>
              <w:t>Інформація про суб’єкта надання адміністративної послуги</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r>
          </w:p>
        </w:tc>
      </w:tr>
      <w:tr>
        <w:trPr>
          <w:trHeight w:val="70" w:hRule="atLeast"/>
          <w:cantSplit w:val="true"/>
        </w:trPr>
        <w:tc>
          <w:tcPr>
            <w:tcW w:w="5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1.</w:t>
            </w:r>
          </w:p>
        </w:tc>
        <w:tc>
          <w:tcPr>
            <w:tcW w:w="284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Місце знаходження</w:t>
            </w:r>
          </w:p>
        </w:tc>
        <w:tc>
          <w:tcPr>
            <w:tcW w:w="59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before="0" w:after="200"/>
              <w:jc w:val="both"/>
              <w:rPr>
                <w:sz w:val="28"/>
                <w:szCs w:val="28"/>
              </w:rPr>
            </w:pPr>
            <w:r>
              <w:rPr>
                <w:rFonts w:cs="Times New Roman" w:ascii="Times New Roman" w:hAnsi="Times New Roman"/>
                <w:iCs/>
                <w:color w:val="000000"/>
                <w:sz w:val="28"/>
                <w:szCs w:val="28"/>
              </w:rPr>
              <w:t>вул. Загорська, 10, каб, 119 м. Ужгород, Закарпатська область,88017</w:t>
            </w:r>
          </w:p>
        </w:tc>
      </w:tr>
      <w:tr>
        <w:trPr>
          <w:trHeight w:val="630" w:hRule="atLeast"/>
          <w:cantSplit w:val="true"/>
        </w:trPr>
        <w:tc>
          <w:tcPr>
            <w:tcW w:w="5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2.</w:t>
            </w:r>
          </w:p>
        </w:tc>
        <w:tc>
          <w:tcPr>
            <w:tcW w:w="284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Spacing"/>
              <w:spacing w:lineRule="auto" w:line="276"/>
              <w:rPr>
                <w:sz w:val="28"/>
                <w:szCs w:val="28"/>
              </w:rPr>
            </w:pPr>
            <w:r>
              <w:rPr>
                <w:rFonts w:cs="Times New Roman" w:ascii="Times New Roman" w:hAnsi="Times New Roman"/>
                <w:sz w:val="28"/>
                <w:szCs w:val="28"/>
              </w:rPr>
              <w:t xml:space="preserve">Інформація щодо режиму роботи </w:t>
            </w:r>
          </w:p>
        </w:tc>
        <w:tc>
          <w:tcPr>
            <w:tcW w:w="59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240" w:before="0" w:after="198"/>
              <w:contextualSpacing/>
              <w:rPr>
                <w:sz w:val="28"/>
                <w:szCs w:val="28"/>
              </w:rPr>
            </w:pPr>
            <w:r>
              <w:rPr>
                <w:rFonts w:ascii="Times New Roman" w:hAnsi="Times New Roman"/>
                <w:sz w:val="28"/>
                <w:szCs w:val="28"/>
              </w:rPr>
              <w:t>Понеділок – четвер: 8.00 - 17.00</w:t>
            </w:r>
          </w:p>
          <w:p>
            <w:pPr>
              <w:pStyle w:val="Normal"/>
              <w:spacing w:lineRule="auto" w:line="240" w:before="0" w:after="198"/>
              <w:contextualSpacing/>
              <w:rPr>
                <w:sz w:val="28"/>
                <w:szCs w:val="28"/>
              </w:rPr>
            </w:pPr>
            <w:r>
              <w:rPr>
                <w:rFonts w:ascii="Times New Roman" w:hAnsi="Times New Roman"/>
                <w:sz w:val="28"/>
                <w:szCs w:val="28"/>
              </w:rPr>
              <w:t>п’ятниця: 8.00 - 15.45</w:t>
            </w:r>
          </w:p>
          <w:p>
            <w:pPr>
              <w:pStyle w:val="Normal"/>
              <w:spacing w:before="0" w:after="198"/>
              <w:contextualSpacing/>
              <w:rPr>
                <w:sz w:val="28"/>
                <w:szCs w:val="28"/>
              </w:rPr>
            </w:pPr>
            <w:r>
              <w:rPr>
                <w:rFonts w:ascii="Times New Roman" w:hAnsi="Times New Roman"/>
                <w:sz w:val="28"/>
                <w:szCs w:val="28"/>
              </w:rPr>
              <w:t>обідня перерва: 12.00 - 12.45</w:t>
            </w:r>
          </w:p>
          <w:p>
            <w:pPr>
              <w:pStyle w:val="Normal"/>
              <w:spacing w:lineRule="auto" w:line="240" w:before="0" w:after="198"/>
              <w:contextualSpacing/>
              <w:rPr>
                <w:sz w:val="28"/>
                <w:szCs w:val="28"/>
              </w:rPr>
            </w:pPr>
            <w:r>
              <w:rPr>
                <w:rFonts w:cs="Times New Roman" w:ascii="Times New Roman" w:hAnsi="Times New Roman"/>
                <w:color w:val="000000"/>
                <w:sz w:val="28"/>
                <w:szCs w:val="28"/>
                <w:lang w:eastAsia="hi-IN" w:bidi="hi-IN"/>
              </w:rPr>
              <w:t>вихідні дні: субота, неділя.</w:t>
            </w:r>
          </w:p>
        </w:tc>
      </w:tr>
      <w:tr>
        <w:trPr>
          <w:trHeight w:val="630" w:hRule="atLeast"/>
          <w:cantSplit w:val="true"/>
        </w:trPr>
        <w:tc>
          <w:tcPr>
            <w:tcW w:w="5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3.</w:t>
            </w:r>
          </w:p>
        </w:tc>
        <w:tc>
          <w:tcPr>
            <w:tcW w:w="284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Spacing"/>
              <w:spacing w:lineRule="auto" w:line="276"/>
              <w:rPr>
                <w:sz w:val="28"/>
                <w:szCs w:val="28"/>
              </w:rPr>
            </w:pPr>
            <w:r>
              <w:rPr>
                <w:rFonts w:cs="Times New Roman" w:ascii="Times New Roman" w:hAnsi="Times New Roman"/>
                <w:sz w:val="28"/>
                <w:szCs w:val="28"/>
              </w:rPr>
              <w:t xml:space="preserve">Телефон/факс (довідки), адреса електронної пошти та веб-сайт </w:t>
            </w:r>
          </w:p>
        </w:tc>
        <w:tc>
          <w:tcPr>
            <w:tcW w:w="59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276"/>
              <w:rPr/>
            </w:pPr>
            <w:r>
              <w:rPr>
                <w:rFonts w:ascii="Times New Roman" w:hAnsi="Times New Roman"/>
                <w:sz w:val="28"/>
                <w:szCs w:val="28"/>
              </w:rPr>
              <w:t>Телефон (0312) 667017</w:t>
            </w:r>
          </w:p>
          <w:p>
            <w:pPr>
              <w:pStyle w:val="Normal"/>
              <w:spacing w:lineRule="auto" w:line="276"/>
              <w:rPr/>
            </w:pPr>
            <w:r>
              <w:rPr>
                <w:rFonts w:ascii="Times New Roman" w:hAnsi="Times New Roman"/>
                <w:sz w:val="28"/>
                <w:szCs w:val="28"/>
                <w:lang w:eastAsia="uk-UA"/>
              </w:rPr>
              <w:t xml:space="preserve"> </w:t>
            </w:r>
            <w:r>
              <w:rPr>
                <w:rStyle w:val="Strong"/>
                <w:rFonts w:cs="Arial" w:ascii="Times New Roman" w:hAnsi="Times New Roman"/>
                <w:color w:val="333333"/>
                <w:sz w:val="28"/>
                <w:szCs w:val="28"/>
              </w:rPr>
              <w:t>:</w:t>
            </w:r>
            <w:r>
              <w:rPr>
                <w:rStyle w:val="Strong"/>
                <w:rFonts w:cs="Arial" w:ascii="Times New Roman" w:hAnsi="Times New Roman"/>
                <w:b w:val="false"/>
                <w:bCs w:val="false"/>
                <w:color w:val="333333"/>
                <w:sz w:val="28"/>
                <w:szCs w:val="28"/>
              </w:rPr>
              <w:t> </w:t>
            </w:r>
            <w:r>
              <w:rPr>
                <w:rStyle w:val="Strong"/>
                <w:rFonts w:ascii="Times New Roman" w:hAnsi="Times New Roman"/>
                <w:b w:val="false"/>
                <w:bCs w:val="false"/>
                <w:color w:val="333333"/>
                <w:sz w:val="28"/>
                <w:szCs w:val="28"/>
              </w:rPr>
              <w:t>uzh-rda@carpathia.gov.ua</w:t>
            </w:r>
          </w:p>
          <w:p>
            <w:pPr>
              <w:pStyle w:val="Normal"/>
              <w:widowControl/>
              <w:bidi w:val="0"/>
              <w:spacing w:lineRule="auto" w:line="276" w:before="0" w:after="200"/>
              <w:jc w:val="left"/>
              <w:rPr/>
            </w:pPr>
            <w:r>
              <w:rPr>
                <w:rFonts w:cs="Times New Roman" w:ascii="Times New Roman" w:hAnsi="Times New Roman"/>
                <w:sz w:val="28"/>
                <w:szCs w:val="28"/>
                <w:lang w:eastAsia="uk-UA"/>
              </w:rPr>
              <w:t xml:space="preserve">: </w:t>
            </w:r>
            <w:r>
              <w:rPr>
                <w:rFonts w:cs="Times New Roman" w:ascii="Times New Roman" w:hAnsi="Times New Roman"/>
                <w:spacing w:val="2"/>
                <w:sz w:val="28"/>
                <w:szCs w:val="28"/>
                <w:lang w:val="en-US" w:eastAsia="uk-UA"/>
              </w:rPr>
              <w:t>www</w:t>
            </w:r>
            <w:r>
              <w:rPr>
                <w:rFonts w:cs="Times New Roman" w:ascii="Times New Roman" w:hAnsi="Times New Roman"/>
                <w:spacing w:val="2"/>
                <w:sz w:val="28"/>
                <w:szCs w:val="28"/>
                <w:lang w:eastAsia="uk-UA"/>
              </w:rPr>
              <w:t>.</w:t>
            </w:r>
            <w:r>
              <w:rPr>
                <w:rFonts w:cs="Times New Roman" w:ascii="Times New Roman" w:hAnsi="Times New Roman"/>
                <w:spacing w:val="2"/>
                <w:sz w:val="28"/>
                <w:szCs w:val="28"/>
                <w:lang w:val="en-US" w:eastAsia="uk-UA"/>
              </w:rPr>
              <w:t>uzh</w:t>
            </w:r>
            <w:r>
              <w:rPr>
                <w:rFonts w:cs="Times New Roman" w:ascii="Times New Roman" w:hAnsi="Times New Roman"/>
                <w:spacing w:val="2"/>
                <w:sz w:val="28"/>
                <w:szCs w:val="28"/>
                <w:lang w:eastAsia="uk-UA"/>
              </w:rPr>
              <w:t>-</w:t>
            </w:r>
            <w:r>
              <w:rPr>
                <w:rFonts w:cs="Times New Roman" w:ascii="Times New Roman" w:hAnsi="Times New Roman"/>
                <w:spacing w:val="2"/>
                <w:sz w:val="28"/>
                <w:szCs w:val="28"/>
                <w:lang w:val="en-US" w:eastAsia="uk-UA"/>
              </w:rPr>
              <w:t>rda</w:t>
            </w:r>
            <w:r>
              <w:rPr>
                <w:rFonts w:cs="Times New Roman" w:ascii="Times New Roman" w:hAnsi="Times New Roman"/>
                <w:spacing w:val="2"/>
                <w:sz w:val="28"/>
                <w:szCs w:val="28"/>
                <w:lang w:eastAsia="uk-UA"/>
              </w:rPr>
              <w:t>.</w:t>
            </w:r>
            <w:r>
              <w:rPr>
                <w:rFonts w:cs="Times New Roman" w:ascii="Times New Roman" w:hAnsi="Times New Roman"/>
                <w:spacing w:val="2"/>
                <w:sz w:val="28"/>
                <w:szCs w:val="28"/>
                <w:lang w:val="en-US" w:eastAsia="uk-UA"/>
              </w:rPr>
              <w:t>gov</w:t>
            </w:r>
            <w:r>
              <w:rPr>
                <w:rFonts w:cs="Times New Roman" w:ascii="Times New Roman" w:hAnsi="Times New Roman"/>
                <w:spacing w:val="2"/>
                <w:sz w:val="28"/>
                <w:szCs w:val="28"/>
                <w:lang w:eastAsia="uk-UA"/>
              </w:rPr>
              <w:t>.</w:t>
            </w:r>
            <w:r>
              <w:rPr>
                <w:rFonts w:cs="Times New Roman" w:ascii="Times New Roman" w:hAnsi="Times New Roman"/>
                <w:spacing w:val="2"/>
                <w:sz w:val="28"/>
                <w:szCs w:val="28"/>
                <w:lang w:val="en-US" w:eastAsia="uk-UA"/>
              </w:rPr>
              <w:t>ua</w:t>
            </w:r>
          </w:p>
        </w:tc>
      </w:tr>
      <w:tr>
        <w:trPr>
          <w:trHeight w:val="292" w:hRule="atLeast"/>
          <w:cantSplit w:val="true"/>
        </w:trPr>
        <w:tc>
          <w:tcPr>
            <w:tcW w:w="937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Нормативні акти, якими регламентується надання адміністративної послуги</w:t>
            </w:r>
          </w:p>
        </w:tc>
      </w:tr>
      <w:tr>
        <w:trPr>
          <w:trHeight w:val="261" w:hRule="atLeast"/>
          <w:cantSplit w:val="true"/>
        </w:trPr>
        <w:tc>
          <w:tcPr>
            <w:tcW w:w="5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4.</w:t>
            </w:r>
          </w:p>
        </w:tc>
        <w:tc>
          <w:tcPr>
            <w:tcW w:w="284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Закони України, акти Кабінету Міністрів України, акти Центральних органів виконавчої влади</w:t>
            </w:r>
          </w:p>
        </w:tc>
        <w:tc>
          <w:tcPr>
            <w:tcW w:w="59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Spacing"/>
              <w:spacing w:lineRule="auto" w:line="276"/>
              <w:rPr/>
            </w:pPr>
            <w:r>
              <w:fldChar w:fldCharType="begin"/>
            </w:r>
            <w:r>
              <w:instrText> HYPERLINK "http://zakon1.rada.gov.ua/laws/show/1952-15" \l "_blank"</w:instrText>
            </w:r>
            <w:r>
              <w:fldChar w:fldCharType="separate"/>
            </w:r>
            <w:r>
              <w:rPr>
                <w:rStyle w:val="Style15"/>
                <w:rFonts w:cs="Times New Roman" w:ascii="Times New Roman" w:hAnsi="Times New Roman"/>
                <w:color w:val="000000"/>
                <w:sz w:val="28"/>
                <w:szCs w:val="28"/>
                <w:u w:val="none"/>
              </w:rPr>
              <w:t>Закон України «Про державну реєстрацію речових прав на нерухоме майно та їх обтяжень»</w:t>
            </w:r>
            <w:r>
              <w:fldChar w:fldCharType="end"/>
            </w:r>
          </w:p>
          <w:p>
            <w:pPr>
              <w:pStyle w:val="NoSpacing"/>
              <w:spacing w:lineRule="auto" w:line="276"/>
              <w:rPr/>
            </w:pPr>
            <w:r>
              <w:fldChar w:fldCharType="begin"/>
            </w:r>
            <w:r>
              <w:instrText> HYPERLINK "http://www.kmu.gov.ua/control/ru/cardnpd?docid=248747864" \l "_blank"</w:instrText>
            </w:r>
            <w:r>
              <w:fldChar w:fldCharType="separate"/>
            </w:r>
            <w:r>
              <w:rPr>
                <w:rStyle w:val="Style15"/>
                <w:rFonts w:cs="Times New Roman" w:ascii="Times New Roman" w:hAnsi="Times New Roman"/>
                <w:color w:val="000000"/>
                <w:sz w:val="28"/>
                <w:szCs w:val="28"/>
                <w:u w:val="none"/>
              </w:rPr>
              <w:t>Постанова Кабінету Міністрів України від 25 грудня 2015 р. № 1127 "Про державну реєстрацію речових прав на нерухоме майно та їх обтяжень"</w:t>
            </w:r>
            <w:r>
              <w:fldChar w:fldCharType="end"/>
            </w:r>
          </w:p>
          <w:p>
            <w:pPr>
              <w:pStyle w:val="NoSpacing"/>
              <w:spacing w:lineRule="auto" w:line="276"/>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rHeight w:val="339" w:hRule="atLeast"/>
        </w:trPr>
        <w:tc>
          <w:tcPr>
            <w:tcW w:w="937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Умови отримання адміністративної послуги</w:t>
            </w:r>
          </w:p>
        </w:tc>
      </w:tr>
      <w:tr>
        <w:trPr>
          <w:trHeight w:val="525"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5.</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Підстава для одержання адміністративної послуги</w:t>
            </w:r>
          </w:p>
        </w:tc>
        <w:tc>
          <w:tcPr>
            <w:tcW w:w="5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hd w:val="clear" w:color="auto" w:fill="FFFFFF"/>
              <w:spacing w:lineRule="auto" w:line="240" w:before="0" w:after="0"/>
              <w:ind w:firstLine="450"/>
              <w:contextualSpacing/>
              <w:jc w:val="both"/>
              <w:textAlignment w:val="baseline"/>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t xml:space="preserve">Згідно п.2.ст. 27 Закону </w:t>
            </w:r>
            <w:r>
              <w:rPr>
                <w:rFonts w:ascii="Times New Roman" w:hAnsi="Times New Roman"/>
                <w:color w:val="000000"/>
                <w:sz w:val="28"/>
                <w:szCs w:val="28"/>
                <w:shd w:fill="FFFFFF" w:val="clear"/>
              </w:rPr>
              <w:t>державна реєстрація обтяжень проводиться на підставі:</w:t>
            </w:r>
          </w:p>
          <w:p>
            <w:pPr>
              <w:pStyle w:val="Normal"/>
              <w:shd w:val="clear" w:color="auto" w:fill="FFFFFF"/>
              <w:spacing w:lineRule="auto" w:line="240" w:before="0" w:after="0"/>
              <w:contextualSpacing/>
              <w:jc w:val="both"/>
              <w:textAlignment w:val="baseline"/>
              <w:rPr>
                <w:rFonts w:ascii="Times New Roman" w:hAnsi="Times New Roman"/>
                <w:sz w:val="28"/>
                <w:szCs w:val="28"/>
              </w:rPr>
            </w:pPr>
            <w:r>
              <w:rPr>
                <w:rFonts w:eastAsia="Times New Roman" w:cs="Times New Roman" w:ascii="Times New Roman" w:hAnsi="Times New Roman"/>
                <w:color w:val="000000"/>
                <w:sz w:val="28"/>
                <w:szCs w:val="28"/>
                <w:lang w:eastAsia="uk-UA"/>
              </w:rPr>
              <w:t>1) рішення суду щодо обтяження речових прав на нерухоме майно, що набрало законної сили;</w:t>
            </w:r>
          </w:p>
          <w:p>
            <w:pPr>
              <w:pStyle w:val="Normal"/>
              <w:shd w:val="clear" w:color="auto" w:fill="FFFFFF"/>
              <w:spacing w:lineRule="auto" w:line="240" w:before="0" w:after="0"/>
              <w:contextualSpacing/>
              <w:jc w:val="both"/>
              <w:textAlignment w:val="baseline"/>
              <w:rPr>
                <w:rFonts w:ascii="Times New Roman" w:hAnsi="Times New Roman"/>
                <w:sz w:val="28"/>
                <w:szCs w:val="28"/>
              </w:rPr>
            </w:pPr>
            <w:bookmarkStart w:id="0" w:name="n313"/>
            <w:bookmarkEnd w:id="0"/>
            <w:r>
              <w:rPr>
                <w:rFonts w:eastAsia="Times New Roman" w:cs="Times New Roman" w:ascii="Times New Roman" w:hAnsi="Times New Roman"/>
                <w:color w:val="000000"/>
                <w:sz w:val="28"/>
                <w:szCs w:val="28"/>
                <w:lang w:eastAsia="uk-UA"/>
              </w:rPr>
              <w:t>2) рішення державного виконавця, приватного виконавця щодо обтяження речових прав на нерухоме майно;</w:t>
            </w:r>
          </w:p>
          <w:p>
            <w:pPr>
              <w:pStyle w:val="Normal"/>
              <w:shd w:val="clear" w:color="auto" w:fill="FFFFFF"/>
              <w:spacing w:lineRule="auto" w:line="240" w:before="0" w:after="0"/>
              <w:contextualSpacing/>
              <w:jc w:val="both"/>
              <w:textAlignment w:val="baseline"/>
              <w:rPr>
                <w:rFonts w:ascii="Times New Roman" w:hAnsi="Times New Roman"/>
                <w:sz w:val="28"/>
                <w:szCs w:val="28"/>
              </w:rPr>
            </w:pPr>
            <w:bookmarkStart w:id="1" w:name="n314"/>
            <w:bookmarkStart w:id="2" w:name="n491"/>
            <w:bookmarkEnd w:id="1"/>
            <w:bookmarkEnd w:id="2"/>
            <w:r>
              <w:rPr>
                <w:rFonts w:eastAsia="Times New Roman" w:cs="Times New Roman" w:ascii="Times New Roman" w:hAnsi="Times New Roman"/>
                <w:color w:val="000000"/>
                <w:sz w:val="28"/>
                <w:szCs w:val="28"/>
                <w:lang w:eastAsia="uk-UA"/>
              </w:rPr>
              <w:t>3) визначеного законодавством документа, на якому нотаріусом вчинено напис про накладення заборони щодо відчуження нерухомого майна;</w:t>
            </w:r>
          </w:p>
          <w:p>
            <w:pPr>
              <w:pStyle w:val="Normal"/>
              <w:shd w:val="clear" w:color="auto" w:fill="FFFFFF"/>
              <w:spacing w:lineRule="auto" w:line="240" w:before="0" w:after="0"/>
              <w:contextualSpacing/>
              <w:jc w:val="both"/>
              <w:textAlignment w:val="baseline"/>
              <w:rPr>
                <w:rFonts w:ascii="Times New Roman" w:hAnsi="Times New Roman"/>
                <w:sz w:val="28"/>
                <w:szCs w:val="28"/>
              </w:rPr>
            </w:pPr>
            <w:bookmarkStart w:id="3" w:name="n315"/>
            <w:bookmarkEnd w:id="3"/>
            <w:r>
              <w:rPr>
                <w:rFonts w:eastAsia="Times New Roman" w:cs="Times New Roman" w:ascii="Times New Roman" w:hAnsi="Times New Roman"/>
                <w:color w:val="000000"/>
                <w:sz w:val="28"/>
                <w:szCs w:val="28"/>
                <w:lang w:eastAsia="uk-UA"/>
              </w:rPr>
              <w:t>4) рішення органу місцевого самоврядування про віднесення об’єктів нерухомого майна до застарілого житлового фонду;</w:t>
            </w:r>
          </w:p>
          <w:p>
            <w:pPr>
              <w:pStyle w:val="Normal"/>
              <w:shd w:val="clear" w:color="auto" w:fill="FFFFFF"/>
              <w:spacing w:lineRule="auto" w:line="240" w:before="0" w:after="0"/>
              <w:contextualSpacing/>
              <w:jc w:val="both"/>
              <w:textAlignment w:val="baseline"/>
              <w:rPr>
                <w:rFonts w:ascii="Times New Roman" w:hAnsi="Times New Roman"/>
                <w:sz w:val="28"/>
                <w:szCs w:val="28"/>
              </w:rPr>
            </w:pPr>
            <w:bookmarkStart w:id="4" w:name="n316"/>
            <w:bookmarkEnd w:id="4"/>
            <w:r>
              <w:rPr>
                <w:rFonts w:eastAsia="Times New Roman" w:cs="Times New Roman" w:ascii="Times New Roman" w:hAnsi="Times New Roman"/>
                <w:color w:val="000000"/>
                <w:sz w:val="28"/>
                <w:szCs w:val="28"/>
                <w:lang w:eastAsia="uk-UA"/>
              </w:rPr>
              <w:t>5) договору, укладеного в порядку, визначеному законом, яким встановлюється обтяження речових прав на нерухоме майно, чи його дубліката;</w:t>
            </w:r>
          </w:p>
          <w:p>
            <w:pPr>
              <w:pStyle w:val="Normal"/>
              <w:shd w:val="clear" w:color="auto" w:fill="FFFFFF"/>
              <w:spacing w:lineRule="auto" w:line="240" w:before="0" w:after="0"/>
              <w:contextualSpacing/>
              <w:jc w:val="both"/>
              <w:textAlignment w:val="baseline"/>
              <w:rPr>
                <w:rFonts w:ascii="Times New Roman" w:hAnsi="Times New Roman"/>
                <w:sz w:val="28"/>
                <w:szCs w:val="28"/>
              </w:rPr>
            </w:pPr>
            <w:bookmarkStart w:id="5" w:name="n317"/>
            <w:bookmarkEnd w:id="5"/>
            <w:r>
              <w:rPr>
                <w:rFonts w:eastAsia="Times New Roman" w:cs="Times New Roman" w:ascii="Times New Roman" w:hAnsi="Times New Roman"/>
                <w:color w:val="000000"/>
                <w:sz w:val="28"/>
                <w:szCs w:val="28"/>
                <w:lang w:eastAsia="uk-UA"/>
              </w:rPr>
              <w:t>6) закону, яким встановлено заборону користування та/або розпорядження нерухомим майном;</w:t>
            </w:r>
          </w:p>
          <w:p>
            <w:pPr>
              <w:pStyle w:val="Normal"/>
              <w:shd w:val="clear" w:color="auto" w:fill="FFFFFF"/>
              <w:spacing w:lineRule="auto" w:line="240" w:before="0" w:after="0"/>
              <w:jc w:val="both"/>
              <w:textAlignment w:val="baseline"/>
              <w:rPr>
                <w:rFonts w:ascii="Times New Roman" w:hAnsi="Times New Roman"/>
                <w:sz w:val="28"/>
                <w:szCs w:val="28"/>
              </w:rPr>
            </w:pPr>
            <w:bookmarkStart w:id="6" w:name="n318"/>
            <w:bookmarkEnd w:id="6"/>
            <w:r>
              <w:rPr>
                <w:rFonts w:eastAsia="Times New Roman" w:cs="Times New Roman" w:ascii="Times New Roman" w:hAnsi="Times New Roman"/>
                <w:color w:val="000000"/>
                <w:sz w:val="28"/>
                <w:szCs w:val="28"/>
                <w:lang w:eastAsia="uk-UA"/>
              </w:rPr>
              <w:t>7) інших актів органів державної влади та посадових осіб згідно із законом.</w:t>
            </w:r>
          </w:p>
          <w:p>
            <w:pPr>
              <w:pStyle w:val="NoSpacing"/>
              <w:spacing w:lineRule="auto" w:line="276"/>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rHeight w:val="1245"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6.</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Перелік документів, необхідних для отримання адміністративної послуги, а також вимоги до них</w:t>
            </w:r>
          </w:p>
        </w:tc>
        <w:tc>
          <w:tcPr>
            <w:tcW w:w="5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Spacing"/>
              <w:spacing w:lineRule="auto" w:line="276"/>
              <w:rPr>
                <w:rFonts w:ascii="Times New Roman" w:hAnsi="Times New Roman"/>
                <w:sz w:val="28"/>
                <w:szCs w:val="28"/>
              </w:rPr>
            </w:pPr>
            <w:r>
              <w:rPr>
                <w:rFonts w:ascii="Times New Roman" w:hAnsi="Times New Roman"/>
                <w:sz w:val="28"/>
                <w:szCs w:val="28"/>
              </w:rPr>
              <w:t xml:space="preserve">1.Заява про державну реєстрацію прав та їх обтяжень (щодо обтяження речового права) , заява про державну реєстрацію прав та їх обтяжень (щодо іншого речового права) формується за допомогою програмних засобів ведення Реєстру). </w:t>
            </w:r>
          </w:p>
          <w:p>
            <w:pPr>
              <w:pStyle w:val="NoSpacing"/>
              <w:spacing w:lineRule="auto" w:line="276"/>
              <w:rPr>
                <w:rFonts w:ascii="Times New Roman" w:hAnsi="Times New Roman"/>
                <w:sz w:val="28"/>
                <w:szCs w:val="28"/>
              </w:rPr>
            </w:pPr>
            <w:r>
              <w:rPr>
                <w:rFonts w:ascii="Times New Roman" w:hAnsi="Times New Roman"/>
                <w:sz w:val="28"/>
                <w:szCs w:val="28"/>
              </w:rPr>
              <w:t xml:space="preserve">2.Документ, що посвідчує особу заявника. </w:t>
            </w:r>
          </w:p>
          <w:p>
            <w:pPr>
              <w:pStyle w:val="NoSpacing"/>
              <w:spacing w:lineRule="auto" w:line="276"/>
              <w:rPr>
                <w:rFonts w:ascii="Times New Roman" w:hAnsi="Times New Roman"/>
                <w:sz w:val="28"/>
                <w:szCs w:val="28"/>
              </w:rPr>
            </w:pPr>
            <w:r>
              <w:rPr>
                <w:rFonts w:ascii="Times New Roman" w:hAnsi="Times New Roman"/>
                <w:sz w:val="28"/>
                <w:szCs w:val="28"/>
              </w:rPr>
              <w:t>3.Реєстраційний номер облікової картки платника податку згідно з Державним реєстром фізичних осіб – платників податків (ідентифікаційний номер) - у разі подання заяви заінтересованою особою особисто.</w:t>
            </w:r>
          </w:p>
          <w:p>
            <w:pPr>
              <w:pStyle w:val="NoSpacing"/>
              <w:spacing w:lineRule="auto" w:line="276"/>
              <w:rPr>
                <w:rFonts w:ascii="Times New Roman" w:hAnsi="Times New Roman"/>
                <w:sz w:val="28"/>
                <w:szCs w:val="28"/>
              </w:rPr>
            </w:pPr>
            <w:r>
              <w:rPr>
                <w:rFonts w:ascii="Times New Roman" w:hAnsi="Times New Roman"/>
                <w:sz w:val="28"/>
                <w:szCs w:val="28"/>
              </w:rPr>
              <w:t xml:space="preserve">4. Пред’являє оригінал та подає копію документа, що підтверджує її повноваження та документ, що посвідчує її особу – у разі подання заяви уповноваженою особою. </w:t>
            </w:r>
          </w:p>
          <w:p>
            <w:pPr>
              <w:pStyle w:val="NoSpacing"/>
              <w:spacing w:lineRule="auto" w:line="276"/>
              <w:rPr>
                <w:sz w:val="28"/>
                <w:szCs w:val="28"/>
              </w:rPr>
            </w:pPr>
            <w:r>
              <w:rPr>
                <w:rFonts w:ascii="Times New Roman" w:hAnsi="Times New Roman"/>
                <w:sz w:val="28"/>
                <w:szCs w:val="28"/>
              </w:rPr>
              <w:t xml:space="preserve">5. Документ, що підтверджує внесення адміністративного збору за надання адміністративної послуги. </w:t>
            </w:r>
          </w:p>
          <w:p>
            <w:pPr>
              <w:pStyle w:val="NoSpacing"/>
              <w:spacing w:lineRule="auto" w:line="276"/>
              <w:rPr>
                <w:sz w:val="28"/>
                <w:szCs w:val="28"/>
              </w:rPr>
            </w:pPr>
            <w:r>
              <w:rPr>
                <w:rFonts w:ascii="Times New Roman" w:hAnsi="Times New Roman"/>
                <w:sz w:val="28"/>
                <w:szCs w:val="28"/>
              </w:rPr>
              <w:t>6.Документи, що підтверджують виникнення, перехід або припинення обтяження/іпотеки на нерухоме майно (рішення суду, ухвала слідчого судді тощо).</w:t>
            </w:r>
          </w:p>
          <w:p>
            <w:pPr>
              <w:pStyle w:val="NoSpacing"/>
              <w:spacing w:lineRule="auto" w:line="276"/>
              <w:rPr>
                <w:sz w:val="28"/>
                <w:szCs w:val="28"/>
              </w:rPr>
            </w:pPr>
            <w:r>
              <w:rPr>
                <w:rFonts w:ascii="Times New Roman" w:hAnsi="Times New Roman"/>
                <w:sz w:val="28"/>
                <w:szCs w:val="28"/>
              </w:rPr>
              <w:t>7.Інші документи - у випадках передбачених законодавством.</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ІІ. Документи, що підтверджують виникнення, перехід та припинення обтяжень речових прав на нерухоме майно,   а саме:</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1) рішення суду щодо обтяження речових прав на нерухоме майно, що набрало законної сили;</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2) рішення державного виконавця щодо обтяження речових прав на нерухоме майно;</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3) визначеного законодавством документа, на якому нотаріусом вчинено напис про накладення заборони щодо відчуження нерухомого майна;</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4) рішення органу місцевого самоврядування про віднесення об’єктів нерухомого майна до застарілого житлового фонду;</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5) договору, укладеного в порядку, визначеному законом, яким встановлюється обтяження речових прав на нерухоме майно, чи його дубліката;</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6) закону, яким встановлено заборону користування та/або розпорядження нерухомим майном;</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7) інших актів органів державної влади та посадових осіб згідно із законом.</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Для державної реєстрації обтяження нерухомого майна іпотекою на підставі іпотечного договору, у тому числі у зв’язку із зміною умов обтяження нерухомого майна іпотекою, також подається заставна, якщо іпотечним договором передбачено її видачу</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Для державної реєстрації припинення обтяження нерухомого майна іпотекою у разі придбання (передачі) за результатами прилюдних торгів (аукціонів) нерухомого майна, що є предметом іпотеки, подається примірник акта про реалізацію предмета іпотеки.</w:t>
            </w:r>
          </w:p>
        </w:tc>
      </w:tr>
      <w:tr>
        <w:trPr>
          <w:trHeight w:val="765"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7.</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Порядок та спосіб подання документів, необхідних для отримання адміністративної послуги</w:t>
            </w:r>
          </w:p>
        </w:tc>
        <w:tc>
          <w:tcPr>
            <w:tcW w:w="5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 xml:space="preserve">Особисто (або уповноваженою особою) шляхом звернення до суб’єкта надання адміністративних послуг. </w:t>
            </w:r>
          </w:p>
        </w:tc>
      </w:tr>
      <w:tr>
        <w:trPr>
          <w:trHeight w:val="705"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8.</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Платність (безоплатність) надання адміністративної послуги</w:t>
            </w:r>
          </w:p>
        </w:tc>
        <w:tc>
          <w:tcPr>
            <w:tcW w:w="5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Spacing"/>
              <w:spacing w:lineRule="auto" w:line="276"/>
              <w:rPr>
                <w:rFonts w:ascii="Times New Roman" w:hAnsi="Times New Roman" w:cs="Times New Roman"/>
                <w:sz w:val="28"/>
                <w:szCs w:val="28"/>
              </w:rPr>
            </w:pPr>
            <w:r>
              <w:rPr>
                <w:rFonts w:cs="Times New Roman" w:ascii="Times New Roman" w:hAnsi="Times New Roman"/>
                <w:bCs/>
                <w:sz w:val="28"/>
                <w:szCs w:val="28"/>
              </w:rPr>
              <w:t>Платно:</w:t>
            </w:r>
          </w:p>
          <w:p>
            <w:pPr>
              <w:pStyle w:val="NoSpacing"/>
              <w:spacing w:lineRule="auto" w:line="276"/>
              <w:rPr>
                <w:sz w:val="28"/>
                <w:szCs w:val="28"/>
              </w:rPr>
            </w:pPr>
            <w:r>
              <w:rPr>
                <w:rFonts w:cs="Times New Roman" w:ascii="Times New Roman" w:hAnsi="Times New Roman"/>
                <w:sz w:val="28"/>
                <w:szCs w:val="28"/>
              </w:rPr>
              <w:t xml:space="preserve">у строк, що не перевищує 2-х робочих днів, крім вихідних та святкових днів з моменту прийняття заяви – 0,05 розміру прожиткового мінімуму для працездатних осіб. </w:t>
            </w:r>
          </w:p>
          <w:p>
            <w:pPr>
              <w:pStyle w:val="Style18"/>
              <w:spacing w:before="0" w:after="0"/>
              <w:ind w:firstLine="360"/>
              <w:contextualSpacing/>
              <w:jc w:val="both"/>
              <w:rPr>
                <w:sz w:val="28"/>
                <w:szCs w:val="28"/>
              </w:rPr>
            </w:pPr>
            <w:r>
              <w:rPr>
                <w:rFonts w:cs="Times New Roman" w:ascii="Times New Roman" w:hAnsi="Times New Roman"/>
                <w:color w:val="000000"/>
                <w:sz w:val="28"/>
                <w:szCs w:val="28"/>
              </w:rPr>
              <w:t>Адміністративний збір справляється у відповідному розмірі від прожиткового мінімуму для працездатних осіб, встановленого законом на 1 січня календарного року, в якому подаються відповідні документи для проведення державної реєстрації прав, та округлюється до найближчих 10 гривень.</w:t>
            </w:r>
          </w:p>
          <w:p>
            <w:pPr>
              <w:pStyle w:val="Style18"/>
              <w:spacing w:lineRule="auto" w:line="276" w:before="0" w:after="0"/>
              <w:contextualSpacing/>
              <w:rPr>
                <w:sz w:val="28"/>
                <w:szCs w:val="28"/>
              </w:rPr>
            </w:pPr>
            <w:r>
              <w:rPr>
                <w:rStyle w:val="Style16"/>
                <w:rFonts w:cs="Times New Roman" w:ascii="Times New Roman" w:hAnsi="Times New Roman"/>
                <w:b w:val="false"/>
                <w:color w:val="000000"/>
                <w:sz w:val="28"/>
                <w:szCs w:val="28"/>
              </w:rPr>
              <w:t>Звільняються від сплати адміністративного збору під час проведення державної реєстрації речових прав:</w:t>
            </w:r>
          </w:p>
          <w:p>
            <w:pPr>
              <w:pStyle w:val="NoSpacing"/>
              <w:spacing w:lineRule="auto" w:line="276"/>
              <w:rPr>
                <w:sz w:val="28"/>
                <w:szCs w:val="28"/>
              </w:rPr>
            </w:pPr>
            <w:bookmarkStart w:id="7" w:name="o396"/>
            <w:bookmarkEnd w:id="7"/>
            <w:r>
              <w:rPr>
                <w:rFonts w:eastAsia="Times New Roman" w:cs="Times New Roman" w:ascii="Times New Roman" w:hAnsi="Times New Roman"/>
                <w:color w:val="000000"/>
                <w:sz w:val="28"/>
                <w:szCs w:val="28"/>
                <w:lang w:eastAsia="ar-SA"/>
              </w:rPr>
              <w:t>1) фізичні та юридичні особи - під час проведення державної реєстрації прав, які виникли та оформлені до проведення державної реєстрації прав у порядку, визначеному цим Законом;</w:t>
            </w:r>
          </w:p>
          <w:p>
            <w:pPr>
              <w:pStyle w:val="NoSpacing"/>
              <w:spacing w:lineRule="auto" w:line="276"/>
              <w:rPr>
                <w:rFonts w:ascii="Times New Roman" w:hAnsi="Times New Roman" w:eastAsia="Times New Roman" w:cs="Times New Roman"/>
                <w:color w:val="000000"/>
                <w:sz w:val="28"/>
                <w:szCs w:val="28"/>
                <w:lang w:eastAsia="ar-SA"/>
              </w:rPr>
            </w:pPr>
            <w:bookmarkStart w:id="8" w:name="n374"/>
            <w:bookmarkEnd w:id="8"/>
            <w:r>
              <w:rPr>
                <w:rFonts w:eastAsia="Times New Roman" w:cs="Times New Roman" w:ascii="Times New Roman" w:hAnsi="Times New Roman"/>
                <w:color w:val="000000"/>
                <w:sz w:val="28"/>
                <w:szCs w:val="28"/>
                <w:lang w:eastAsia="ar-SA"/>
              </w:rPr>
              <w:t>2) громадяни, віднесені до категорій 1 і 2 постраждалих внаслідок Чорнобильської катастрофи;</w:t>
            </w:r>
          </w:p>
          <w:p>
            <w:pPr>
              <w:pStyle w:val="NoSpacing"/>
              <w:spacing w:lineRule="auto" w:line="276"/>
              <w:rPr>
                <w:rFonts w:ascii="Times New Roman" w:hAnsi="Times New Roman" w:eastAsia="Times New Roman" w:cs="Times New Roman"/>
                <w:color w:val="000000"/>
                <w:sz w:val="28"/>
                <w:szCs w:val="28"/>
                <w:lang w:eastAsia="ar-SA"/>
              </w:rPr>
            </w:pPr>
            <w:bookmarkStart w:id="9" w:name="n375"/>
            <w:bookmarkEnd w:id="9"/>
            <w:r>
              <w:rPr>
                <w:rFonts w:eastAsia="Times New Roman" w:cs="Times New Roman" w:ascii="Times New Roman" w:hAnsi="Times New Roman"/>
                <w:color w:val="000000"/>
                <w:sz w:val="28"/>
                <w:szCs w:val="28"/>
                <w:lang w:eastAsia="ar-SA"/>
              </w:rPr>
              <w:t>3)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станом на 1 січня 1993 року прожили або відпрацювали в зоні безумовного (обов’язкового) відселення не менше двох років, а в зоні гарантованого добровільного відселення - не менше трьох років;</w:t>
            </w:r>
          </w:p>
          <w:p>
            <w:pPr>
              <w:pStyle w:val="NoSpacing"/>
              <w:spacing w:lineRule="auto" w:line="276"/>
              <w:rPr>
                <w:rFonts w:ascii="Times New Roman" w:hAnsi="Times New Roman" w:eastAsia="Times New Roman" w:cs="Times New Roman"/>
                <w:color w:val="000000"/>
                <w:sz w:val="28"/>
                <w:szCs w:val="28"/>
                <w:lang w:eastAsia="ar-SA"/>
              </w:rPr>
            </w:pPr>
            <w:bookmarkStart w:id="10" w:name="n376"/>
            <w:bookmarkEnd w:id="10"/>
            <w:r>
              <w:rPr>
                <w:rFonts w:eastAsia="Times New Roman" w:cs="Times New Roman" w:ascii="Times New Roman" w:hAnsi="Times New Roman"/>
                <w:color w:val="000000"/>
                <w:sz w:val="28"/>
                <w:szCs w:val="28"/>
                <w:lang w:eastAsia="ar-SA"/>
              </w:rPr>
              <w:t>4) громадяни, віднесені до категорії 4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pPr>
              <w:pStyle w:val="NoSpacing"/>
              <w:spacing w:lineRule="auto" w:line="276"/>
              <w:rPr>
                <w:rFonts w:ascii="Times New Roman" w:hAnsi="Times New Roman" w:eastAsia="Times New Roman" w:cs="Times New Roman"/>
                <w:color w:val="000000"/>
                <w:sz w:val="28"/>
                <w:szCs w:val="28"/>
                <w:lang w:eastAsia="ar-SA"/>
              </w:rPr>
            </w:pPr>
            <w:bookmarkStart w:id="11" w:name="n377"/>
            <w:bookmarkEnd w:id="11"/>
            <w:r>
              <w:rPr>
                <w:rFonts w:eastAsia="Times New Roman" w:cs="Times New Roman" w:ascii="Times New Roman" w:hAnsi="Times New Roman"/>
                <w:color w:val="000000"/>
                <w:sz w:val="28"/>
                <w:szCs w:val="28"/>
                <w:lang w:eastAsia="ar-SA"/>
              </w:rPr>
              <w:t>5) інваліди Великої Вітчизняної війни, особи із числа учасників антитерористичної операції, яким надано статус інваліда війни або учасника бойових дій, та сім’ї воїнів (партизанів), які загинули чи пропали безвісти, і прирівняні до них у встановленому порядку особи;</w:t>
            </w:r>
          </w:p>
          <w:p>
            <w:pPr>
              <w:pStyle w:val="NoSpacing"/>
              <w:spacing w:lineRule="auto" w:line="276"/>
              <w:rPr>
                <w:rFonts w:ascii="Times New Roman" w:hAnsi="Times New Roman" w:eastAsia="Times New Roman" w:cs="Times New Roman"/>
                <w:color w:val="000000"/>
                <w:sz w:val="28"/>
                <w:szCs w:val="28"/>
                <w:lang w:eastAsia="ar-SA"/>
              </w:rPr>
            </w:pPr>
            <w:bookmarkStart w:id="12" w:name="n378"/>
            <w:bookmarkEnd w:id="12"/>
            <w:r>
              <w:rPr>
                <w:rFonts w:eastAsia="Times New Roman" w:cs="Times New Roman" w:ascii="Times New Roman" w:hAnsi="Times New Roman"/>
                <w:color w:val="000000"/>
                <w:sz w:val="28"/>
                <w:szCs w:val="28"/>
                <w:lang w:eastAsia="ar-SA"/>
              </w:rPr>
              <w:t>6) інваліди I та II груп;</w:t>
            </w:r>
          </w:p>
          <w:p>
            <w:pPr>
              <w:pStyle w:val="NoSpacing"/>
              <w:spacing w:lineRule="auto" w:line="276"/>
              <w:rPr>
                <w:rFonts w:ascii="Times New Roman" w:hAnsi="Times New Roman" w:eastAsia="Times New Roman" w:cs="Times New Roman"/>
                <w:color w:val="000000"/>
                <w:sz w:val="28"/>
                <w:szCs w:val="28"/>
                <w:lang w:eastAsia="ar-SA"/>
              </w:rPr>
            </w:pPr>
            <w:bookmarkStart w:id="13" w:name="n379"/>
            <w:bookmarkEnd w:id="13"/>
            <w:r>
              <w:rPr>
                <w:rFonts w:eastAsia="Times New Roman" w:cs="Times New Roman" w:ascii="Times New Roman" w:hAnsi="Times New Roman"/>
                <w:color w:val="000000"/>
                <w:sz w:val="28"/>
                <w:szCs w:val="28"/>
                <w:lang w:eastAsia="ar-SA"/>
              </w:rPr>
              <w:t>7) Національний банк України;</w:t>
            </w:r>
          </w:p>
          <w:p>
            <w:pPr>
              <w:pStyle w:val="NoSpacing"/>
              <w:spacing w:lineRule="auto" w:line="276"/>
              <w:rPr>
                <w:rFonts w:ascii="Times New Roman" w:hAnsi="Times New Roman" w:eastAsia="Times New Roman" w:cs="Times New Roman"/>
                <w:color w:val="000000"/>
                <w:sz w:val="28"/>
                <w:szCs w:val="28"/>
                <w:lang w:eastAsia="ar-SA"/>
              </w:rPr>
            </w:pPr>
            <w:bookmarkStart w:id="14" w:name="n380"/>
            <w:bookmarkEnd w:id="14"/>
            <w:r>
              <w:rPr>
                <w:rFonts w:eastAsia="Times New Roman" w:cs="Times New Roman" w:ascii="Times New Roman" w:hAnsi="Times New Roman"/>
                <w:color w:val="000000"/>
                <w:sz w:val="28"/>
                <w:szCs w:val="28"/>
                <w:lang w:eastAsia="ar-SA"/>
              </w:rPr>
              <w:t>8) органи державної влади, органи місцевого самоврядування;</w:t>
            </w:r>
          </w:p>
          <w:p>
            <w:pPr>
              <w:pStyle w:val="NoSpacing"/>
              <w:spacing w:lineRule="auto" w:line="276"/>
              <w:rPr>
                <w:rFonts w:ascii="Times New Roman" w:hAnsi="Times New Roman" w:eastAsia="Times New Roman" w:cs="Times New Roman"/>
                <w:color w:val="000000"/>
                <w:sz w:val="28"/>
                <w:szCs w:val="28"/>
                <w:lang w:eastAsia="ar-SA"/>
              </w:rPr>
            </w:pPr>
            <w:bookmarkStart w:id="15" w:name="n381"/>
            <w:bookmarkEnd w:id="15"/>
            <w:r>
              <w:rPr>
                <w:rFonts w:eastAsia="Times New Roman" w:cs="Times New Roman" w:ascii="Times New Roman" w:hAnsi="Times New Roman"/>
                <w:color w:val="000000"/>
                <w:sz w:val="28"/>
                <w:szCs w:val="28"/>
                <w:lang w:eastAsia="ar-SA"/>
              </w:rPr>
              <w:t>9) інші особи за рішенням сільської, селищної, міської ради, виконавчий орган якої здійснює функції суб’єкта державної реєстрації прав.</w:t>
            </w:r>
          </w:p>
          <w:p>
            <w:pPr>
              <w:pStyle w:val="NoSpacing"/>
              <w:spacing w:lineRule="auto" w:line="276"/>
              <w:rPr>
                <w:sz w:val="28"/>
                <w:szCs w:val="28"/>
              </w:rPr>
            </w:pPr>
            <w:r>
              <w:rPr>
                <w:rFonts w:cs="Times New Roman" w:ascii="Times New Roman" w:hAnsi="Times New Roman"/>
                <w:bCs/>
                <w:sz w:val="28"/>
                <w:szCs w:val="28"/>
              </w:rPr>
              <w:t>У разі відмови у державній реєстрації прав та їх обтяжень адміністративний збір не повертається.</w:t>
            </w:r>
          </w:p>
          <w:p>
            <w:pPr>
              <w:pStyle w:val="NoSpacing"/>
              <w:spacing w:lineRule="auto" w:line="276"/>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У разі відкликання заяви про державну реєстрацію прав та їх обтяжень адміністративний збір підлягає поверненню.</w:t>
            </w:r>
          </w:p>
        </w:tc>
      </w:tr>
      <w:tr>
        <w:trPr>
          <w:trHeight w:val="540"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9.</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Строк надання адміністративної послуги</w:t>
            </w:r>
          </w:p>
        </w:tc>
        <w:tc>
          <w:tcPr>
            <w:tcW w:w="5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У строк, що не перевищує 2-х робочих днів,</w:t>
            </w:r>
            <w:r>
              <w:rPr>
                <w:rFonts w:cs="Times New Roman" w:ascii="Times New Roman" w:hAnsi="Times New Roman"/>
                <w:b/>
                <w:sz w:val="28"/>
                <w:szCs w:val="28"/>
              </w:rPr>
              <w:t xml:space="preserve"> </w:t>
            </w:r>
            <w:r>
              <w:rPr>
                <w:rFonts w:cs="Times New Roman" w:ascii="Times New Roman" w:hAnsi="Times New Roman"/>
                <w:sz w:val="28"/>
                <w:szCs w:val="28"/>
              </w:rPr>
              <w:t>крім вихідних та святкових днів, з моменту прийняття заяви.</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r>
          </w:p>
        </w:tc>
      </w:tr>
      <w:tr>
        <w:trPr>
          <w:trHeight w:val="525"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Spacing"/>
              <w:spacing w:lineRule="auto" w:line="276"/>
              <w:rPr>
                <w:sz w:val="28"/>
                <w:szCs w:val="28"/>
              </w:rPr>
            </w:pPr>
            <w:r>
              <w:rPr>
                <w:rFonts w:cs="Times New Roman" w:ascii="Times New Roman" w:hAnsi="Times New Roman"/>
                <w:sz w:val="28"/>
                <w:szCs w:val="28"/>
              </w:rPr>
              <w:t>10.</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Підстави для відмови</w:t>
            </w:r>
          </w:p>
        </w:tc>
        <w:tc>
          <w:tcPr>
            <w:tcW w:w="5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Spacing"/>
              <w:spacing w:lineRule="auto" w:line="276" w:before="0" w:after="200"/>
              <w:contextualSpacing/>
              <w:rPr>
                <w:rFonts w:ascii="Times New Roman" w:hAnsi="Times New Roman" w:cs="Times New Roman"/>
                <w:sz w:val="28"/>
                <w:szCs w:val="28"/>
              </w:rPr>
            </w:pPr>
            <w:r>
              <w:rPr>
                <w:rFonts w:cs="Times New Roman" w:ascii="Times New Roman" w:hAnsi="Times New Roman"/>
                <w:sz w:val="28"/>
                <w:szCs w:val="28"/>
              </w:rPr>
              <w:t>Ст. 24 Закону України «Про державну реєстрацію речових прав на нерухоме майно та їх обтяжень» (далі –Закон). У проведенні державної реєстрації іншого речового права на нерухоме майно, обтяження права на нерухоме майно може бути відмовлено, якщо:</w:t>
            </w:r>
          </w:p>
          <w:p>
            <w:pPr>
              <w:pStyle w:val="Normal"/>
              <w:shd w:val="clear" w:color="auto" w:fill="FFFFFF"/>
              <w:spacing w:lineRule="auto" w:line="240" w:before="0" w:after="0"/>
              <w:contextualSpacing/>
              <w:jc w:val="both"/>
              <w:textAlignment w:val="baseline"/>
              <w:rPr>
                <w:sz w:val="28"/>
                <w:szCs w:val="28"/>
              </w:rPr>
            </w:pPr>
            <w:r>
              <w:rPr>
                <w:rFonts w:eastAsia="Times New Roman" w:cs="Times New Roman" w:ascii="Times New Roman" w:hAnsi="Times New Roman"/>
                <w:color w:val="000000"/>
                <w:sz w:val="28"/>
                <w:szCs w:val="28"/>
                <w:lang w:eastAsia="uk-UA"/>
              </w:rPr>
              <w:t>1) заявлене речове право, обтяження не підлягають державній реєстрації відповідно до цього Закону;</w:t>
            </w:r>
          </w:p>
          <w:p>
            <w:pPr>
              <w:pStyle w:val="Normal"/>
              <w:shd w:val="clear" w:color="auto" w:fill="FFFFFF"/>
              <w:spacing w:lineRule="auto" w:line="240" w:before="0" w:after="0"/>
              <w:contextualSpacing/>
              <w:jc w:val="both"/>
              <w:textAlignment w:val="baseline"/>
              <w:rPr>
                <w:sz w:val="28"/>
                <w:szCs w:val="28"/>
              </w:rPr>
            </w:pPr>
            <w:bookmarkStart w:id="16" w:name="n259"/>
            <w:bookmarkEnd w:id="16"/>
            <w:r>
              <w:rPr>
                <w:rFonts w:eastAsia="Times New Roman" w:cs="Times New Roman" w:ascii="Times New Roman" w:hAnsi="Times New Roman"/>
                <w:color w:val="000000"/>
                <w:sz w:val="28"/>
                <w:szCs w:val="28"/>
                <w:lang w:eastAsia="uk-UA"/>
              </w:rPr>
              <w:t>2) заява про державну реєстрацію прав подана неналежною особою;</w:t>
            </w:r>
          </w:p>
          <w:p>
            <w:pPr>
              <w:pStyle w:val="Normal"/>
              <w:shd w:val="clear" w:color="auto" w:fill="FFFFFF"/>
              <w:spacing w:lineRule="auto" w:line="240" w:before="0" w:after="0"/>
              <w:contextualSpacing/>
              <w:jc w:val="both"/>
              <w:textAlignment w:val="baseline"/>
              <w:rPr>
                <w:sz w:val="28"/>
                <w:szCs w:val="28"/>
              </w:rPr>
            </w:pPr>
            <w:bookmarkStart w:id="17" w:name="n260"/>
            <w:bookmarkEnd w:id="17"/>
            <w:r>
              <w:rPr>
                <w:rFonts w:eastAsia="Times New Roman" w:cs="Times New Roman" w:ascii="Times New Roman" w:hAnsi="Times New Roman"/>
                <w:color w:val="000000"/>
                <w:sz w:val="28"/>
                <w:szCs w:val="28"/>
                <w:lang w:eastAsia="uk-UA"/>
              </w:rPr>
              <w:t>3) подані документи не відповідають вимогам, встановленим цим Законом;</w:t>
            </w:r>
          </w:p>
          <w:p>
            <w:pPr>
              <w:pStyle w:val="Normal"/>
              <w:shd w:val="clear" w:color="auto" w:fill="FFFFFF"/>
              <w:spacing w:lineRule="auto" w:line="240" w:before="0" w:after="0"/>
              <w:contextualSpacing/>
              <w:jc w:val="both"/>
              <w:textAlignment w:val="baseline"/>
              <w:rPr>
                <w:sz w:val="28"/>
                <w:szCs w:val="28"/>
              </w:rPr>
            </w:pPr>
            <w:bookmarkStart w:id="18" w:name="n261"/>
            <w:bookmarkEnd w:id="18"/>
            <w:r>
              <w:rPr>
                <w:rFonts w:eastAsia="Times New Roman" w:cs="Times New Roman" w:ascii="Times New Roman" w:hAnsi="Times New Roman"/>
                <w:color w:val="000000"/>
                <w:sz w:val="28"/>
                <w:szCs w:val="28"/>
                <w:lang w:eastAsia="uk-UA"/>
              </w:rPr>
              <w:t>4) подані документи не дають змоги встановити набуття, зміну або припинення речових прав на нерухоме майно та їх обтяження;</w:t>
            </w:r>
          </w:p>
          <w:p>
            <w:pPr>
              <w:pStyle w:val="Normal"/>
              <w:shd w:val="clear" w:color="auto" w:fill="FFFFFF"/>
              <w:spacing w:lineRule="auto" w:line="240" w:before="0" w:after="0"/>
              <w:contextualSpacing/>
              <w:jc w:val="both"/>
              <w:textAlignment w:val="baseline"/>
              <w:rPr>
                <w:sz w:val="28"/>
                <w:szCs w:val="28"/>
              </w:rPr>
            </w:pPr>
            <w:bookmarkStart w:id="19" w:name="n262"/>
            <w:bookmarkEnd w:id="19"/>
            <w:r>
              <w:rPr>
                <w:rFonts w:eastAsia="Times New Roman" w:cs="Times New Roman" w:ascii="Times New Roman" w:hAnsi="Times New Roman"/>
                <w:color w:val="000000"/>
                <w:sz w:val="28"/>
                <w:szCs w:val="28"/>
                <w:lang w:eastAsia="uk-UA"/>
              </w:rPr>
              <w:t>5) наявні суперечності між заявленими та вже зареєстрованими речовими правами на нерухоме майно та їх обтяженнями;</w:t>
            </w:r>
          </w:p>
          <w:p>
            <w:pPr>
              <w:pStyle w:val="Normal"/>
              <w:shd w:val="clear" w:color="auto" w:fill="FFFFFF"/>
              <w:spacing w:lineRule="auto" w:line="240" w:before="0" w:after="0"/>
              <w:contextualSpacing/>
              <w:jc w:val="both"/>
              <w:textAlignment w:val="baseline"/>
              <w:rPr>
                <w:sz w:val="28"/>
                <w:szCs w:val="28"/>
              </w:rPr>
            </w:pPr>
            <w:bookmarkStart w:id="20" w:name="n263"/>
            <w:bookmarkEnd w:id="20"/>
            <w:r>
              <w:rPr>
                <w:rFonts w:eastAsia="Times New Roman" w:cs="Times New Roman" w:ascii="Times New Roman" w:hAnsi="Times New Roman"/>
                <w:color w:val="000000"/>
                <w:sz w:val="28"/>
                <w:szCs w:val="28"/>
                <w:lang w:eastAsia="uk-UA"/>
              </w:rPr>
              <w:t>6) наявні зареєстровані обтяження речових прав на нерухоме майно;</w:t>
            </w:r>
          </w:p>
          <w:p>
            <w:pPr>
              <w:pStyle w:val="Normal"/>
              <w:shd w:val="clear" w:color="auto" w:fill="FFFFFF"/>
              <w:spacing w:lineRule="auto" w:line="240" w:before="0" w:after="0"/>
              <w:contextualSpacing/>
              <w:jc w:val="both"/>
              <w:textAlignment w:val="baseline"/>
              <w:rPr>
                <w:sz w:val="28"/>
                <w:szCs w:val="28"/>
              </w:rPr>
            </w:pPr>
            <w:bookmarkStart w:id="21" w:name="n264"/>
            <w:bookmarkEnd w:id="21"/>
            <w:r>
              <w:rPr>
                <w:rFonts w:eastAsia="Times New Roman" w:cs="Times New Roman" w:ascii="Times New Roman" w:hAnsi="Times New Roman"/>
                <w:color w:val="000000"/>
                <w:sz w:val="28"/>
                <w:szCs w:val="28"/>
                <w:lang w:eastAsia="uk-UA"/>
              </w:rPr>
              <w:t>7) заяву про державну реєстрацію обтяжень щодо попереднього правонабувача подано після державної реєстрації права власності на таке майно за новим правонабувачем;</w:t>
            </w:r>
          </w:p>
          <w:p>
            <w:pPr>
              <w:pStyle w:val="Normal"/>
              <w:shd w:val="clear" w:color="auto" w:fill="FFFFFF"/>
              <w:spacing w:lineRule="auto" w:line="240" w:before="0" w:after="0"/>
              <w:contextualSpacing/>
              <w:jc w:val="both"/>
              <w:textAlignment w:val="baseline"/>
              <w:rPr/>
            </w:pPr>
            <w:bookmarkStart w:id="22" w:name="n265"/>
            <w:bookmarkEnd w:id="22"/>
            <w:r>
              <w:rPr>
                <w:rFonts w:eastAsia="Times New Roman" w:cs="Times New Roman" w:ascii="Times New Roman" w:hAnsi="Times New Roman"/>
                <w:color w:val="000000"/>
                <w:sz w:val="28"/>
                <w:szCs w:val="28"/>
                <w:lang w:eastAsia="uk-UA"/>
              </w:rPr>
              <w:t>8) після завершення строку, встановленого </w:t>
            </w:r>
            <w:r>
              <w:fldChar w:fldCharType="begin"/>
            </w:r>
            <w:r>
              <w:instrText> HYPERLINK "http://zakon3.rada.gov.ua/laws/show/1952-15/page2" \l "n251"</w:instrText>
            </w:r>
            <w:r>
              <w:fldChar w:fldCharType="separate"/>
            </w:r>
            <w:r>
              <w:rPr>
                <w:rStyle w:val="Style15"/>
                <w:rFonts w:eastAsia="Times New Roman" w:cs="Times New Roman" w:ascii="Times New Roman" w:hAnsi="Times New Roman"/>
                <w:color w:val="006600"/>
                <w:sz w:val="28"/>
                <w:szCs w:val="28"/>
                <w:lang w:eastAsia="uk-UA"/>
              </w:rPr>
              <w:t>частиною третьою</w:t>
            </w:r>
            <w:r>
              <w:fldChar w:fldCharType="end"/>
            </w:r>
            <w:r>
              <w:rPr>
                <w:rFonts w:eastAsia="Times New Roman" w:cs="Times New Roman" w:ascii="Times New Roman" w:hAnsi="Times New Roman"/>
                <w:color w:val="000000"/>
                <w:sz w:val="28"/>
                <w:szCs w:val="28"/>
                <w:lang w:eastAsia="uk-UA"/>
              </w:rPr>
              <w:t> статті 23 цього Закону, не усунені обставини, що були підставою для прийняття рішення про зупинення розгляду заяви про державну реєстрацію прав;</w:t>
            </w:r>
          </w:p>
          <w:p>
            <w:pPr>
              <w:pStyle w:val="Normal"/>
              <w:shd w:val="clear" w:color="auto" w:fill="FFFFFF"/>
              <w:spacing w:lineRule="auto" w:line="240" w:before="0" w:after="0"/>
              <w:contextualSpacing/>
              <w:jc w:val="both"/>
              <w:textAlignment w:val="baseline"/>
              <w:rPr>
                <w:sz w:val="28"/>
                <w:szCs w:val="28"/>
              </w:rPr>
            </w:pPr>
            <w:bookmarkStart w:id="23" w:name="n266"/>
            <w:bookmarkEnd w:id="23"/>
            <w:r>
              <w:rPr>
                <w:rFonts w:eastAsia="Times New Roman" w:cs="Times New Roman" w:ascii="Times New Roman" w:hAnsi="Times New Roman"/>
                <w:color w:val="000000"/>
                <w:sz w:val="28"/>
                <w:szCs w:val="28"/>
                <w:lang w:eastAsia="uk-UA"/>
              </w:rPr>
              <w:t>9) заяву про державну реєстрацію прав та їх обтяжень під час вчинення нотаріальної дії з нерухомим майном, об’єктом незавершеного будівництва подано не до нотаріуса, який вчинив таку дію;</w:t>
            </w:r>
          </w:p>
          <w:p>
            <w:pPr>
              <w:pStyle w:val="Normal"/>
              <w:shd w:val="clear" w:color="auto" w:fill="FFFFFF"/>
              <w:spacing w:lineRule="auto" w:line="240" w:before="0" w:after="0"/>
              <w:contextualSpacing/>
              <w:jc w:val="both"/>
              <w:textAlignment w:val="baseline"/>
              <w:rPr>
                <w:sz w:val="28"/>
                <w:szCs w:val="28"/>
              </w:rPr>
            </w:pPr>
            <w:bookmarkStart w:id="24" w:name="n267"/>
            <w:bookmarkEnd w:id="24"/>
            <w:r>
              <w:rPr>
                <w:rFonts w:eastAsia="Times New Roman" w:cs="Times New Roman" w:ascii="Times New Roman" w:hAnsi="Times New Roman"/>
                <w:color w:val="000000"/>
                <w:sz w:val="28"/>
                <w:szCs w:val="28"/>
                <w:lang w:eastAsia="uk-UA"/>
              </w:rPr>
              <w:t>10) 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w:t>
            </w:r>
          </w:p>
          <w:p>
            <w:pPr>
              <w:pStyle w:val="Normal"/>
              <w:shd w:val="clear" w:color="auto" w:fill="FFFFFF"/>
              <w:spacing w:lineRule="auto" w:line="240" w:before="0" w:after="0"/>
              <w:contextualSpacing/>
              <w:jc w:val="both"/>
              <w:textAlignment w:val="baseline"/>
              <w:rPr>
                <w:sz w:val="28"/>
                <w:szCs w:val="28"/>
              </w:rPr>
            </w:pPr>
            <w:bookmarkStart w:id="25" w:name="n268"/>
            <w:bookmarkEnd w:id="25"/>
            <w:r>
              <w:rPr>
                <w:rFonts w:eastAsia="Times New Roman" w:cs="Times New Roman" w:ascii="Times New Roman" w:hAnsi="Times New Roman"/>
                <w:color w:val="000000"/>
                <w:sz w:val="28"/>
                <w:szCs w:val="28"/>
                <w:lang w:eastAsia="uk-UA"/>
              </w:rPr>
              <w:t>11) заявником подано ті самі документи, на підставі яких заявлене речове право, обтяження вже зареєстровано у Державному реєстрі прав;</w:t>
            </w:r>
          </w:p>
          <w:p>
            <w:pPr>
              <w:pStyle w:val="Normal"/>
              <w:shd w:val="clear" w:color="auto" w:fill="FFFFFF"/>
              <w:spacing w:lineRule="auto" w:line="240" w:before="0" w:after="0"/>
              <w:contextualSpacing/>
              <w:jc w:val="both"/>
              <w:textAlignment w:val="baseline"/>
              <w:rPr>
                <w:rFonts w:ascii="Times New Roman" w:hAnsi="Times New Roman" w:eastAsia="Times New Roman" w:cs="Times New Roman"/>
                <w:color w:val="000000"/>
                <w:sz w:val="28"/>
                <w:szCs w:val="28"/>
                <w:lang w:eastAsia="uk-UA"/>
              </w:rPr>
            </w:pPr>
            <w:bookmarkStart w:id="26" w:name="n487"/>
            <w:bookmarkEnd w:id="26"/>
            <w:r>
              <w:rPr>
                <w:rFonts w:eastAsia="Times New Roman" w:cs="Times New Roman" w:ascii="Times New Roman" w:hAnsi="Times New Roman"/>
                <w:color w:val="000000"/>
                <w:sz w:val="28"/>
                <w:szCs w:val="28"/>
                <w:lang w:eastAsia="uk-UA"/>
              </w:rPr>
              <w:t>12) заявника, який звернувся із заявою про державну реєстрацію прав, що матиме наслідком відчуження майна, внесено до Єдиного реєстру боржників.</w:t>
            </w:r>
          </w:p>
          <w:p>
            <w:pPr>
              <w:pStyle w:val="NoSpacing"/>
              <w:spacing w:lineRule="auto" w:line="276" w:before="0" w:after="200"/>
              <w:contextualSpacing/>
              <w:rPr>
                <w:rFonts w:ascii="Times New Roman" w:hAnsi="Times New Roman" w:cs="Times New Roman"/>
                <w:sz w:val="28"/>
                <w:szCs w:val="28"/>
              </w:rPr>
            </w:pPr>
            <w:r>
              <w:rPr>
                <w:rFonts w:cs="Times New Roman" w:ascii="Times New Roman" w:hAnsi="Times New Roman"/>
                <w:sz w:val="28"/>
                <w:szCs w:val="28"/>
              </w:rPr>
            </w:r>
          </w:p>
        </w:tc>
      </w:tr>
      <w:tr>
        <w:trPr>
          <w:trHeight w:val="525"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11.</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Зупинення державної реєстрації прав</w:t>
            </w:r>
          </w:p>
        </w:tc>
        <w:tc>
          <w:tcPr>
            <w:tcW w:w="5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Стаття 25.Закону Зупинення державної реєстрації прав</w:t>
            </w:r>
          </w:p>
          <w:p>
            <w:pPr>
              <w:pStyle w:val="Normal"/>
              <w:shd w:val="clear" w:color="auto" w:fill="FFFFFF"/>
              <w:spacing w:lineRule="auto" w:line="240" w:before="0" w:after="0"/>
              <w:ind w:firstLine="450"/>
              <w:contextualSpacing/>
              <w:jc w:val="both"/>
              <w:textAlignment w:val="baseline"/>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t>Проведення реєстраційних дій зупиняється на підставі рішення суду про заборону вчинення реєстраційних дій, що набрало законної сили, або на підставі заяви власника об’єкта нерухомого майна про заборону вчинення реєстраційних дій щодо власного об’єкта нерухомого майна.</w:t>
            </w:r>
          </w:p>
          <w:p>
            <w:pPr>
              <w:pStyle w:val="Normal"/>
              <w:shd w:val="clear" w:color="auto" w:fill="FFFFFF"/>
              <w:spacing w:lineRule="auto" w:line="240" w:before="0" w:after="0"/>
              <w:ind w:firstLine="450"/>
              <w:contextualSpacing/>
              <w:jc w:val="both"/>
              <w:textAlignment w:val="baseline"/>
              <w:rPr>
                <w:rFonts w:ascii="Times New Roman" w:hAnsi="Times New Roman" w:eastAsia="Times New Roman" w:cs="Times New Roman"/>
                <w:color w:val="000000"/>
                <w:sz w:val="28"/>
                <w:szCs w:val="28"/>
                <w:lang w:eastAsia="uk-UA"/>
              </w:rPr>
            </w:pPr>
            <w:bookmarkStart w:id="27" w:name="n595"/>
            <w:bookmarkEnd w:id="27"/>
            <w:r>
              <w:rPr>
                <w:rFonts w:eastAsia="Times New Roman" w:cs="Times New Roman" w:ascii="Times New Roman" w:hAnsi="Times New Roman"/>
                <w:color w:val="000000"/>
                <w:sz w:val="28"/>
                <w:szCs w:val="28"/>
                <w:lang w:eastAsia="uk-UA"/>
              </w:rPr>
              <w:t>Про зупинення реєстраційних дій на підставі рішення суду про заборону вчинення реєстраційних дій державний реєстратор невідкладно повідомляє власника об’єкта нерухомого майна.</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r>
          </w:p>
        </w:tc>
      </w:tr>
      <w:tr>
        <w:trPr>
          <w:trHeight w:val="540"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12.</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Результат надання адміністративної послуги</w:t>
            </w:r>
          </w:p>
        </w:tc>
        <w:tc>
          <w:tcPr>
            <w:tcW w:w="5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Spacing"/>
              <w:spacing w:lineRule="auto" w:line="276"/>
              <w:rPr>
                <w:sz w:val="28"/>
                <w:szCs w:val="28"/>
              </w:rPr>
            </w:pPr>
            <w:r>
              <w:rPr>
                <w:rFonts w:cs="Times New Roman" w:ascii="Times New Roman" w:hAnsi="Times New Roman"/>
                <w:sz w:val="28"/>
                <w:szCs w:val="28"/>
              </w:rPr>
              <w:t>1) Рішення державного реєстратора про державну реєстрацію речових прав та їх обтяжень, витяг з Державного реєстру речових прав прав на нерухоме майно про проведену державну реєстрацію прав надаються в електронній та (за бажанням заявника) в паперовій формі;</w:t>
            </w:r>
          </w:p>
          <w:p>
            <w:pPr>
              <w:pStyle w:val="NoSpacing"/>
              <w:spacing w:lineRule="auto" w:line="276"/>
              <w:rPr>
                <w:sz w:val="28"/>
                <w:szCs w:val="28"/>
              </w:rPr>
            </w:pPr>
            <w:r>
              <w:rPr>
                <w:rFonts w:cs="Times New Roman" w:ascii="Times New Roman" w:hAnsi="Times New Roman"/>
                <w:sz w:val="28"/>
                <w:szCs w:val="28"/>
              </w:rPr>
              <w:t>2) рішення про відмову в державній реєстрації обтяження;</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3) рішення про залишення заяви без розгляду у зв’язку з її відкликанням.</w:t>
            </w:r>
          </w:p>
        </w:tc>
      </w:tr>
      <w:tr>
        <w:trPr>
          <w:trHeight w:val="525"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13.</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Spacing"/>
              <w:spacing w:lineRule="auto" w:line="276"/>
              <w:rPr>
                <w:rFonts w:ascii="Times New Roman" w:hAnsi="Times New Roman" w:cs="Times New Roman"/>
                <w:sz w:val="28"/>
                <w:szCs w:val="28"/>
              </w:rPr>
            </w:pPr>
            <w:r>
              <w:rPr>
                <w:rFonts w:cs="Times New Roman" w:ascii="Times New Roman" w:hAnsi="Times New Roman"/>
                <w:color w:val="000000"/>
                <w:sz w:val="28"/>
                <w:szCs w:val="28"/>
                <w:shd w:fill="FFFFFF" w:val="clear"/>
              </w:rPr>
              <w:t>Заходи, що вживаються у разі виявлення порушення законодавства під час державної реєстрації прав</w:t>
            </w:r>
          </w:p>
        </w:tc>
        <w:tc>
          <w:tcPr>
            <w:tcW w:w="5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Spacing"/>
              <w:spacing w:lineRule="auto" w:line="276"/>
              <w:rPr>
                <w:rFonts w:ascii="Times New Roman" w:hAnsi="Times New Roman" w:cs="Times New Roman"/>
                <w:color w:val="000000"/>
                <w:sz w:val="28"/>
                <w:szCs w:val="28"/>
              </w:rPr>
            </w:pPr>
            <w:r>
              <w:rPr>
                <w:rFonts w:cs="Times New Roman" w:ascii="Times New Roman" w:hAnsi="Times New Roman"/>
                <w:color w:val="000000"/>
                <w:sz w:val="28"/>
                <w:szCs w:val="28"/>
              </w:rPr>
              <w:t xml:space="preserve">Згідно ст. 36 </w:t>
            </w:r>
            <w:r>
              <w:rPr>
                <w:rFonts w:cs="Times New Roman" w:ascii="Times New Roman" w:hAnsi="Times New Roman"/>
                <w:sz w:val="28"/>
                <w:szCs w:val="28"/>
              </w:rPr>
              <w:t xml:space="preserve">Закону України «Про державну реєстрацію речових прав на нерухоме майно та їх обтяжень» </w:t>
            </w:r>
            <w:r>
              <w:rPr>
                <w:rFonts w:cs="Times New Roman" w:ascii="Times New Roman" w:hAnsi="Times New Roman"/>
                <w:color w:val="000000"/>
                <w:sz w:val="28"/>
                <w:szCs w:val="28"/>
              </w:rPr>
              <w:t>якщо під час проведення державної реєстрації прав у державного реєстратора виникає сумнів щодо справжності поданих документів, такий державний реєстратор зобов’язаний повідомити про це правоохоронні органи.</w:t>
            </w:r>
          </w:p>
          <w:p>
            <w:pPr>
              <w:pStyle w:val="NoSpacing"/>
              <w:spacing w:lineRule="auto" w:line="276"/>
              <w:rPr>
                <w:rFonts w:ascii="Times New Roman" w:hAnsi="Times New Roman" w:cs="Times New Roman"/>
                <w:color w:val="000000"/>
                <w:sz w:val="28"/>
                <w:szCs w:val="28"/>
              </w:rPr>
            </w:pPr>
            <w:bookmarkStart w:id="28" w:name="n393"/>
            <w:bookmarkEnd w:id="28"/>
            <w:r>
              <w:rPr>
                <w:rFonts w:cs="Times New Roman" w:ascii="Times New Roman" w:hAnsi="Times New Roman"/>
                <w:color w:val="000000"/>
                <w:sz w:val="28"/>
                <w:szCs w:val="28"/>
              </w:rPr>
              <w:t>Якщо під час розгляду скарги на рішення, дії або бездіяльність державного реєстратора у Міністерства юстиції України чи його територіального органу виникає сумнів щодо справжності поданих документів, вони зобов’язані повідомити про це правоохоронні органи.</w:t>
            </w:r>
          </w:p>
        </w:tc>
      </w:tr>
      <w:tr>
        <w:trPr>
          <w:trHeight w:val="705"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14.</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Порядок оскарження</w:t>
            </w:r>
          </w:p>
        </w:tc>
        <w:tc>
          <w:tcPr>
            <w:tcW w:w="5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Spacing"/>
              <w:spacing w:lineRule="auto" w:line="276"/>
              <w:rPr>
                <w:rFonts w:ascii="Times New Roman" w:hAnsi="Times New Roman" w:cs="Times New Roman"/>
                <w:sz w:val="28"/>
                <w:szCs w:val="28"/>
              </w:rPr>
            </w:pPr>
            <w:r>
              <w:rPr>
                <w:rFonts w:cs="Times New Roman" w:ascii="Times New Roman" w:hAnsi="Times New Roman"/>
                <w:color w:val="000000"/>
                <w:sz w:val="28"/>
                <w:szCs w:val="28"/>
                <w:shd w:fill="FFFFFF" w:val="clear"/>
              </w:rPr>
              <w:t>Рішення, дії або бездіяльність державного реєстратора, суб’єкта державної реєстрації прав можуть бути оскаржені до Міністерства юстиції України, його територіальних органів або до суду.</w:t>
            </w:r>
          </w:p>
        </w:tc>
      </w:tr>
      <w:tr>
        <w:trPr>
          <w:trHeight w:val="1625"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15.</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Примітка</w:t>
            </w:r>
          </w:p>
        </w:tc>
        <w:tc>
          <w:tcPr>
            <w:tcW w:w="5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Spacing"/>
              <w:spacing w:lineRule="auto" w:line="276"/>
              <w:rPr/>
            </w:pPr>
            <w:r>
              <w:rPr>
                <w:rFonts w:cs="Times New Roman" w:ascii="Times New Roman" w:hAnsi="Times New Roman"/>
                <w:sz w:val="28"/>
                <w:szCs w:val="28"/>
              </w:rPr>
              <w:t>При подачі документів обов’язковою умовою є наявність оригіналів документів, які подаються, та присутність всіх власників нерухомого майна ВІДПОВІДАЛЬНІСТЬ ЗА ДОСТОВІРНІСТЬ ВІДОМОСТЕЙ, ЯКІ МІСТЯТЬСЯ У ЗАЯВІ та ІНШИХ ПОДАНИХ ДОКУМЕНТАХ, НЕСЕ ЗАЯВНИК</w:t>
            </w:r>
          </w:p>
        </w:tc>
      </w:tr>
    </w:tbl>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pPr>
      <w:r>
        <w:rPr/>
      </w:r>
    </w:p>
    <w:sectPr>
      <w:type w:val="nextPage"/>
      <w:pgSz w:w="11906" w:h="16838"/>
      <w:pgMar w:left="1417" w:right="850" w:header="0" w:top="850" w:footer="0"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3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81a0e"/>
    <w:pPr>
      <w:widowControl/>
      <w:bidi w:val="0"/>
      <w:spacing w:lineRule="auto" w:line="276" w:before="0" w:after="200"/>
      <w:jc w:val="left"/>
    </w:pPr>
    <w:rPr>
      <w:rFonts w:ascii="Calibri" w:hAnsi="Calibri" w:eastAsia="Calibri" w:cs=""/>
      <w:color w:val="00000A"/>
      <w:sz w:val="22"/>
      <w:szCs w:val="22"/>
      <w:lang w:val="uk-UA" w:eastAsia="en-US" w:bidi="ar-SA"/>
    </w:rPr>
  </w:style>
  <w:style w:type="paragraph" w:styleId="1" w:customStyle="1">
    <w:name w:val="Heading 1"/>
    <w:basedOn w:val="Normal"/>
    <w:link w:val="Heading1"/>
    <w:qFormat/>
    <w:rsid w:val="00db0488"/>
    <w:pPr>
      <w:keepNext/>
      <w:spacing w:lineRule="auto" w:line="240" w:before="0" w:after="0"/>
      <w:outlineLvl w:val="0"/>
    </w:pPr>
    <w:rPr>
      <w:rFonts w:ascii="Times New Roman" w:hAnsi="Times New Roman" w:eastAsia="Times New Roman" w:cs="Times New Roman"/>
      <w:b/>
      <w:bCs/>
      <w:sz w:val="24"/>
      <w:szCs w:val="24"/>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db0488"/>
    <w:rPr>
      <w:rFonts w:ascii="Times New Roman" w:hAnsi="Times New Roman" w:eastAsia="Times New Roman" w:cs="Times New Roman"/>
      <w:b/>
      <w:bCs/>
      <w:sz w:val="24"/>
      <w:szCs w:val="24"/>
      <w:lang w:eastAsia="ru-RU"/>
    </w:rPr>
  </w:style>
  <w:style w:type="character" w:styleId="Style13" w:customStyle="1">
    <w:name w:val="Нижний колонтитул Знак"/>
    <w:basedOn w:val="DefaultParagraphFont"/>
    <w:qFormat/>
    <w:rsid w:val="00db0488"/>
    <w:rPr>
      <w:rFonts w:ascii="Times New Roman" w:hAnsi="Times New Roman" w:eastAsia="Times New Roman" w:cs="Times New Roman"/>
      <w:sz w:val="24"/>
      <w:szCs w:val="24"/>
      <w:lang w:val="ru-RU" w:eastAsia="ar-SA"/>
    </w:rPr>
  </w:style>
  <w:style w:type="character" w:styleId="Style14" w:customStyle="1">
    <w:name w:val="Текст сноски Знак"/>
    <w:basedOn w:val="DefaultParagraphFont"/>
    <w:qFormat/>
    <w:rsid w:val="00db0488"/>
    <w:rPr>
      <w:rFonts w:ascii="Times New Roman" w:hAnsi="Times New Roman" w:eastAsia="Times New Roman" w:cs="Times New Roman"/>
      <w:sz w:val="20"/>
      <w:szCs w:val="20"/>
      <w:lang w:val="ru-RU" w:eastAsia="ar-SA"/>
    </w:rPr>
  </w:style>
  <w:style w:type="character" w:styleId="HTML" w:customStyle="1">
    <w:name w:val="Стандартный HTML Знак"/>
    <w:basedOn w:val="DefaultParagraphFont"/>
    <w:link w:val="HTML"/>
    <w:qFormat/>
    <w:rsid w:val="00db0488"/>
    <w:rPr>
      <w:rFonts w:ascii="Courier New" w:hAnsi="Courier New" w:eastAsia="Courier New" w:cs="Courier New"/>
      <w:sz w:val="20"/>
      <w:szCs w:val="20"/>
      <w:lang w:val="ru-RU" w:eastAsia="ru-RU"/>
    </w:rPr>
  </w:style>
  <w:style w:type="character" w:styleId="Style15" w:customStyle="1">
    <w:name w:val="Гіперпосилання"/>
    <w:rsid w:val="004536dc"/>
    <w:rPr>
      <w:color w:val="0000FF"/>
      <w:u w:val="single"/>
    </w:rPr>
  </w:style>
  <w:style w:type="character" w:styleId="Strong">
    <w:name w:val="Strong"/>
    <w:basedOn w:val="DefaultParagraphFont"/>
    <w:qFormat/>
    <w:rsid w:val="008b1e30"/>
    <w:rPr>
      <w:b/>
      <w:bCs/>
    </w:rPr>
  </w:style>
  <w:style w:type="character" w:styleId="Style16" w:customStyle="1">
    <w:name w:val="Виділення жирним"/>
    <w:basedOn w:val="DefaultParagraphFont"/>
    <w:qFormat/>
    <w:rsid w:val="008b1e30"/>
    <w:rPr>
      <w:b/>
      <w:bCs/>
    </w:rPr>
  </w:style>
  <w:style w:type="paragraph" w:styleId="Style17" w:customStyle="1">
    <w:name w:val="Заголовок"/>
    <w:basedOn w:val="Normal"/>
    <w:next w:val="Style18"/>
    <w:qFormat/>
    <w:rsid w:val="008b1e30"/>
    <w:pPr>
      <w:keepNext/>
      <w:spacing w:before="240" w:after="120"/>
    </w:pPr>
    <w:rPr>
      <w:rFonts w:ascii="Liberation Sans" w:hAnsi="Liberation Sans" w:eastAsia="Microsoft YaHei" w:cs="Arial"/>
      <w:sz w:val="28"/>
      <w:szCs w:val="28"/>
    </w:rPr>
  </w:style>
  <w:style w:type="paragraph" w:styleId="Style18">
    <w:name w:val="Body Text"/>
    <w:basedOn w:val="Normal"/>
    <w:rsid w:val="008b1e30"/>
    <w:pPr>
      <w:spacing w:lineRule="auto" w:line="288" w:before="0" w:after="140"/>
    </w:pPr>
    <w:rPr/>
  </w:style>
  <w:style w:type="paragraph" w:styleId="Style19">
    <w:name w:val="List"/>
    <w:basedOn w:val="Style18"/>
    <w:rsid w:val="008b1e30"/>
    <w:pPr/>
    <w:rPr>
      <w:rFonts w:cs="Arial"/>
    </w:rPr>
  </w:style>
  <w:style w:type="paragraph" w:styleId="Style20" w:customStyle="1">
    <w:name w:val="Caption"/>
    <w:basedOn w:val="Normal"/>
    <w:qFormat/>
    <w:rsid w:val="008b1e30"/>
    <w:pPr>
      <w:suppressLineNumbers/>
      <w:spacing w:before="120" w:after="120"/>
    </w:pPr>
    <w:rPr>
      <w:rFonts w:cs="Arial"/>
      <w:i/>
      <w:iCs/>
      <w:sz w:val="24"/>
      <w:szCs w:val="24"/>
    </w:rPr>
  </w:style>
  <w:style w:type="paragraph" w:styleId="Style21" w:customStyle="1">
    <w:name w:val="Покажчик"/>
    <w:basedOn w:val="Normal"/>
    <w:qFormat/>
    <w:rsid w:val="008b1e30"/>
    <w:pPr>
      <w:suppressLineNumbers/>
    </w:pPr>
    <w:rPr>
      <w:rFonts w:cs="Arial"/>
    </w:rPr>
  </w:style>
  <w:style w:type="paragraph" w:styleId="ListParagraph">
    <w:name w:val="List Paragraph"/>
    <w:basedOn w:val="Normal"/>
    <w:uiPriority w:val="34"/>
    <w:qFormat/>
    <w:rsid w:val="00db0488"/>
    <w:pPr>
      <w:spacing w:before="0" w:after="200"/>
      <w:ind w:left="720" w:hanging="0"/>
      <w:contextualSpacing/>
    </w:pPr>
    <w:rPr/>
  </w:style>
  <w:style w:type="paragraph" w:styleId="Style22" w:customStyle="1">
    <w:name w:val="Текст в заданном формате"/>
    <w:basedOn w:val="Normal"/>
    <w:qFormat/>
    <w:rsid w:val="00db0488"/>
    <w:pPr>
      <w:tabs>
        <w:tab w:val="left" w:pos="708" w:leader="none"/>
      </w:tabs>
      <w:suppressAutoHyphens w:val="true"/>
      <w:spacing w:lineRule="auto" w:line="240" w:before="0" w:after="0"/>
    </w:pPr>
    <w:rPr>
      <w:rFonts w:ascii="Times New Roman" w:hAnsi="Times New Roman" w:eastAsia="NSimSun" w:cs="Courier New"/>
      <w:sz w:val="20"/>
      <w:szCs w:val="20"/>
      <w:lang w:eastAsia="hi-IN" w:bidi="hi-IN"/>
    </w:rPr>
  </w:style>
  <w:style w:type="paragraph" w:styleId="NormalWeb">
    <w:name w:val="Normal (Web)"/>
    <w:basedOn w:val="Normal"/>
    <w:uiPriority w:val="99"/>
    <w:unhideWhenUsed/>
    <w:qFormat/>
    <w:rsid w:val="00db0488"/>
    <w:pPr>
      <w:spacing w:lineRule="auto" w:line="240" w:beforeAutospacing="1" w:after="119"/>
    </w:pPr>
    <w:rPr>
      <w:rFonts w:ascii="Times New Roman" w:hAnsi="Times New Roman" w:eastAsia="Times New Roman" w:cs="Times New Roman"/>
      <w:sz w:val="24"/>
      <w:szCs w:val="24"/>
      <w:lang w:eastAsia="uk-UA"/>
    </w:rPr>
  </w:style>
  <w:style w:type="paragraph" w:styleId="Style23" w:customStyle="1">
    <w:name w:val="Footer"/>
    <w:basedOn w:val="Normal"/>
    <w:rsid w:val="00db0488"/>
    <w:pPr>
      <w:tabs>
        <w:tab w:val="center" w:pos="4677" w:leader="none"/>
        <w:tab w:val="right" w:pos="9355" w:leader="none"/>
      </w:tabs>
      <w:suppressAutoHyphens w:val="true"/>
      <w:spacing w:lineRule="auto" w:line="240" w:before="0" w:after="0"/>
    </w:pPr>
    <w:rPr>
      <w:rFonts w:ascii="Times New Roman" w:hAnsi="Times New Roman" w:eastAsia="Times New Roman" w:cs="Times New Roman"/>
      <w:sz w:val="24"/>
      <w:szCs w:val="24"/>
      <w:lang w:val="ru-RU" w:eastAsia="ar-SA"/>
    </w:rPr>
  </w:style>
  <w:style w:type="paragraph" w:styleId="Footnotetext">
    <w:name w:val="footnote text"/>
    <w:basedOn w:val="Normal"/>
    <w:qFormat/>
    <w:rsid w:val="00db0488"/>
    <w:pPr>
      <w:suppressAutoHyphens w:val="true"/>
      <w:spacing w:lineRule="auto" w:line="240" w:before="0" w:after="0"/>
    </w:pPr>
    <w:rPr>
      <w:rFonts w:ascii="Times New Roman" w:hAnsi="Times New Roman" w:eastAsia="Times New Roman" w:cs="Times New Roman"/>
      <w:sz w:val="20"/>
      <w:szCs w:val="20"/>
      <w:lang w:val="ru-RU" w:eastAsia="ar-SA"/>
    </w:rPr>
  </w:style>
  <w:style w:type="paragraph" w:styleId="HTMLPreformatted">
    <w:name w:val="HTML Preformatted"/>
    <w:basedOn w:val="Normal"/>
    <w:qFormat/>
    <w:rsid w:val="00db0488"/>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Courier New" w:cs="Courier New"/>
      <w:sz w:val="20"/>
      <w:szCs w:val="20"/>
      <w:lang w:val="ru-RU" w:eastAsia="ru-RU"/>
    </w:rPr>
  </w:style>
  <w:style w:type="paragraph" w:styleId="Rvps2" w:customStyle="1">
    <w:name w:val="rvps2"/>
    <w:basedOn w:val="Normal"/>
    <w:qFormat/>
    <w:rsid w:val="00ae75d0"/>
    <w:pPr>
      <w:suppressAutoHyphens w:val="true"/>
      <w:spacing w:lineRule="auto" w:line="240" w:before="280" w:after="280"/>
    </w:pPr>
    <w:rPr>
      <w:rFonts w:ascii="Times New Roman" w:hAnsi="Times New Roman" w:eastAsia="Times New Roman" w:cs="Times New Roman"/>
      <w:sz w:val="24"/>
      <w:szCs w:val="24"/>
      <w:lang w:eastAsia="ar-SA"/>
    </w:rPr>
  </w:style>
  <w:style w:type="paragraph" w:styleId="NoSpacing">
    <w:name w:val="No Spacing"/>
    <w:uiPriority w:val="1"/>
    <w:qFormat/>
    <w:rsid w:val="00595002"/>
    <w:pPr>
      <w:widowControl/>
      <w:bidi w:val="0"/>
      <w:jc w:val="left"/>
    </w:pPr>
    <w:rPr>
      <w:rFonts w:ascii="Calibri" w:hAnsi="Calibri" w:eastAsia="Calibri" w:cs=""/>
      <w:color w:val="00000A"/>
      <w:sz w:val="22"/>
      <w:szCs w:val="22"/>
      <w:lang w:val="uk-UA" w:eastAsia="en-US" w:bidi="ar-SA"/>
    </w:rPr>
  </w:style>
  <w:style w:type="paragraph" w:styleId="12" w:customStyle="1">
    <w:name w:val="Без интервала1"/>
    <w:qFormat/>
    <w:rsid w:val="008b1e30"/>
    <w:pPr>
      <w:widowControl w:val="false"/>
      <w:suppressAutoHyphens w:val="true"/>
      <w:bidi w:val="0"/>
      <w:jc w:val="both"/>
    </w:pPr>
    <w:rPr>
      <w:rFonts w:ascii="Times New Roman" w:hAnsi="Times New Roman" w:eastAsia="Times New Roman" w:cs="Times New Roman"/>
      <w:color w:val="00000A"/>
      <w:sz w:val="24"/>
      <w:szCs w:val="28"/>
      <w:lang w:val="uk-UA" w:eastAsia="hi-IN" w:bidi="hi-IN"/>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1">
    <w:name w:val="Table Grid"/>
    <w:basedOn w:val="a1"/>
    <w:uiPriority w:val="59"/>
    <w:rsid w:val="00db0488"/>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Application>LibreOffice/5.2.1.2$Windows_x86 LibreOffice_project/31dd62db80d4e60af04904455ec9c9219178d620</Application>
  <Pages>8</Pages>
  <Words>1468</Words>
  <Characters>9599</Characters>
  <CharactersWithSpaces>11069</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2016-05-16T13:47:00Z</dcterms:created>
  <dc:creator>User</dc:creator>
  <dc:description/>
  <dc:language>uk-UA</dc:language>
  <cp:lastModifiedBy/>
  <dcterms:modified xsi:type="dcterms:W3CDTF">2017-10-24T15:13:02Z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