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center"/>
        <w:rPr>
          <w:rFonts w:cs="Times New Roman"/>
          <w:b/>
          <w:bCs/>
          <w:sz w:val="24"/>
          <w:szCs w:val="24"/>
          <w:highlight w:val="white"/>
        </w:rPr>
      </w:pPr>
      <w:r>
        <w:rPr>
          <w:rFonts w:cs="Times New Roman"/>
          <w:b/>
          <w:bCs/>
          <w:sz w:val="24"/>
          <w:szCs w:val="24"/>
          <w:highlight w:val="white"/>
        </w:rPr>
        <w:t>ЗАЯВА</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center"/>
        <w:rPr>
          <w:rFonts w:cs="Times New Roman"/>
          <w:b/>
          <w:bCs/>
          <w:sz w:val="24"/>
          <w:szCs w:val="24"/>
          <w:highlight w:val="white"/>
        </w:rPr>
      </w:pPr>
      <w:r>
        <w:rPr>
          <w:rFonts w:cs="Times New Roman"/>
          <w:b/>
          <w:bCs/>
          <w:sz w:val="24"/>
          <w:szCs w:val="24"/>
          <w:highlight w:val="white"/>
        </w:rPr>
        <w:t>ПРО ВИЗНАЧЕННЯ ОБСЯГУ СТРАТЕГІЧНОЇ ЕКОЛОГІЧНОЇ ОЦІНКИ</w:t>
      </w:r>
    </w:p>
    <w:p w:rsidR="0056655F" w:rsidRDefault="0056655F" w:rsidP="00EF637C">
      <w:pPr>
        <w:tabs>
          <w:tab w:val="left" w:pos="8236"/>
          <w:tab w:val="left" w:pos="8378"/>
          <w:tab w:val="left" w:pos="8520"/>
          <w:tab w:val="left" w:pos="8804"/>
          <w:tab w:val="left" w:pos="8946"/>
        </w:tabs>
        <w:autoSpaceDE w:val="0"/>
        <w:autoSpaceDN w:val="0"/>
        <w:adjustRightInd w:val="0"/>
        <w:spacing w:after="0" w:line="240" w:lineRule="auto"/>
        <w:ind w:right="-92" w:firstLine="567"/>
        <w:jc w:val="center"/>
        <w:rPr>
          <w:rFonts w:cs="Times New Roman"/>
          <w:sz w:val="24"/>
          <w:szCs w:val="24"/>
          <w:highlight w:val="white"/>
        </w:rPr>
      </w:pPr>
      <w:r>
        <w:rPr>
          <w:rFonts w:cs="Times New Roman"/>
          <w:sz w:val="24"/>
          <w:szCs w:val="24"/>
          <w:highlight w:val="white"/>
        </w:rPr>
        <w:t>Детального плану території</w:t>
      </w:r>
    </w:p>
    <w:p w:rsidR="0056655F" w:rsidRDefault="0056655F" w:rsidP="00EF637C">
      <w:pPr>
        <w:tabs>
          <w:tab w:val="left" w:pos="8236"/>
          <w:tab w:val="left" w:pos="8378"/>
          <w:tab w:val="left" w:pos="8520"/>
          <w:tab w:val="left" w:pos="8804"/>
          <w:tab w:val="left" w:pos="8946"/>
        </w:tabs>
        <w:autoSpaceDE w:val="0"/>
        <w:autoSpaceDN w:val="0"/>
        <w:adjustRightInd w:val="0"/>
        <w:spacing w:after="0" w:line="240" w:lineRule="auto"/>
        <w:ind w:right="-92" w:firstLine="567"/>
        <w:jc w:val="center"/>
        <w:rPr>
          <w:rFonts w:ascii="Calibri" w:hAnsi="Calibri" w:cs="Calibri"/>
          <w:szCs w:val="28"/>
          <w:highlight w:val="white"/>
        </w:rPr>
      </w:pPr>
      <w:r w:rsidRPr="0056655F">
        <w:rPr>
          <w:rFonts w:cs="Times New Roman"/>
          <w:sz w:val="24"/>
          <w:szCs w:val="24"/>
          <w:highlight w:val="white"/>
          <w:lang w:val="ru-RU"/>
        </w:rPr>
        <w:t xml:space="preserve"> </w:t>
      </w:r>
      <w:r>
        <w:rPr>
          <w:rFonts w:cs="Times New Roman"/>
          <w:sz w:val="24"/>
          <w:szCs w:val="24"/>
          <w:highlight w:val="white"/>
        </w:rPr>
        <w:t>для розміщення в</w:t>
      </w:r>
      <w:r w:rsidR="00EF637C">
        <w:rPr>
          <w:rFonts w:cs="Times New Roman"/>
          <w:sz w:val="24"/>
          <w:szCs w:val="24"/>
          <w:highlight w:val="white"/>
        </w:rPr>
        <w:t>івчарень, садиби та сіносховища</w:t>
      </w:r>
      <w:r>
        <w:rPr>
          <w:rFonts w:cs="Times New Roman"/>
          <w:sz w:val="24"/>
          <w:szCs w:val="24"/>
          <w:highlight w:val="white"/>
        </w:rPr>
        <w:t xml:space="preserve">, за межами населеного пункту, на   території </w:t>
      </w:r>
      <w:proofErr w:type="spellStart"/>
      <w:r>
        <w:rPr>
          <w:rFonts w:cs="Times New Roman"/>
          <w:sz w:val="24"/>
          <w:szCs w:val="24"/>
          <w:highlight w:val="white"/>
        </w:rPr>
        <w:t>Великодобронської</w:t>
      </w:r>
      <w:proofErr w:type="spellEnd"/>
      <w:r>
        <w:rPr>
          <w:rFonts w:cs="Times New Roman"/>
          <w:sz w:val="24"/>
          <w:szCs w:val="24"/>
          <w:highlight w:val="white"/>
        </w:rPr>
        <w:t xml:space="preserve">  сільської ради Ужгородського району</w:t>
      </w:r>
      <w:r>
        <w:rPr>
          <w:rFonts w:ascii="Calibri" w:hAnsi="Calibri" w:cs="Calibri"/>
          <w:szCs w:val="28"/>
          <w:highlight w:val="white"/>
        </w:rPr>
        <w:t>.</w:t>
      </w:r>
    </w:p>
    <w:p w:rsidR="0056655F" w:rsidRDefault="0056655F" w:rsidP="0056655F">
      <w:pPr>
        <w:tabs>
          <w:tab w:val="left" w:pos="8236"/>
          <w:tab w:val="left" w:pos="8378"/>
          <w:tab w:val="left" w:pos="8520"/>
          <w:tab w:val="left" w:pos="8804"/>
          <w:tab w:val="left" w:pos="8946"/>
        </w:tabs>
        <w:autoSpaceDE w:val="0"/>
        <w:autoSpaceDN w:val="0"/>
        <w:adjustRightInd w:val="0"/>
        <w:spacing w:before="240" w:after="0" w:line="240" w:lineRule="auto"/>
        <w:ind w:right="-92" w:firstLine="567"/>
        <w:jc w:val="center"/>
        <w:rPr>
          <w:rFonts w:cs="Times New Roman"/>
          <w:b/>
          <w:bCs/>
          <w:sz w:val="24"/>
          <w:szCs w:val="24"/>
          <w:highlight w:val="white"/>
        </w:rPr>
      </w:pPr>
      <w:r>
        <w:rPr>
          <w:rFonts w:cs="Times New Roman"/>
          <w:b/>
          <w:bCs/>
          <w:sz w:val="24"/>
          <w:szCs w:val="24"/>
          <w:highlight w:val="white"/>
        </w:rPr>
        <w:t>ЗАМОВНИК СЕО</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Замовником проекту є: Ужгородська районна державна адміністрація.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Юридична адреса: 88000, Закарпатська область, м. Ужгород, вул. Загорська, 10, тел. (0312) 61-29-17.</w:t>
      </w:r>
    </w:p>
    <w:p w:rsidR="0056655F" w:rsidRDefault="0056655F" w:rsidP="0056655F">
      <w:pPr>
        <w:tabs>
          <w:tab w:val="left" w:pos="8236"/>
          <w:tab w:val="left" w:pos="8378"/>
          <w:tab w:val="left" w:pos="8520"/>
          <w:tab w:val="left" w:pos="8804"/>
          <w:tab w:val="left" w:pos="8946"/>
        </w:tabs>
        <w:autoSpaceDE w:val="0"/>
        <w:autoSpaceDN w:val="0"/>
        <w:adjustRightInd w:val="0"/>
        <w:spacing w:before="240" w:after="0" w:line="240" w:lineRule="auto"/>
        <w:ind w:right="-92" w:firstLine="567"/>
        <w:jc w:val="center"/>
        <w:rPr>
          <w:rFonts w:cs="Times New Roman"/>
          <w:b/>
          <w:bCs/>
          <w:sz w:val="24"/>
          <w:szCs w:val="24"/>
          <w:highlight w:val="white"/>
        </w:rPr>
      </w:pPr>
      <w:r>
        <w:rPr>
          <w:rFonts w:cs="Times New Roman"/>
          <w:b/>
          <w:bCs/>
          <w:sz w:val="24"/>
          <w:szCs w:val="24"/>
          <w:highlight w:val="white"/>
        </w:rPr>
        <w:t>ВИД ТА ОСНОВНІ ЦІЛІ ДОКУМЕНТА ДЕРЖАВНОГО ПЛАНУВАННЯ, ЙОГО ЗВ’ЯЗОК З ІНШИМИ ДОКУМЕНТАМИ ДЕРЖАВНОГО ПЛАНУВАННЯ.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Детальний план території для розміщення в</w:t>
      </w:r>
      <w:r w:rsidR="00EF637C">
        <w:rPr>
          <w:rFonts w:cs="Times New Roman"/>
          <w:sz w:val="24"/>
          <w:szCs w:val="24"/>
          <w:highlight w:val="white"/>
        </w:rPr>
        <w:t>івчарень, садиби та сіносховища</w:t>
      </w:r>
      <w:r>
        <w:rPr>
          <w:rFonts w:cs="Times New Roman"/>
          <w:sz w:val="24"/>
          <w:szCs w:val="24"/>
          <w:highlight w:val="white"/>
        </w:rPr>
        <w:t xml:space="preserve">, за межами населеного пункту на території </w:t>
      </w:r>
      <w:proofErr w:type="spellStart"/>
      <w:r>
        <w:rPr>
          <w:rFonts w:cs="Times New Roman"/>
          <w:sz w:val="24"/>
          <w:szCs w:val="24"/>
          <w:highlight w:val="white"/>
        </w:rPr>
        <w:t>Великодобронської</w:t>
      </w:r>
      <w:proofErr w:type="spellEnd"/>
      <w:r>
        <w:rPr>
          <w:rFonts w:cs="Times New Roman"/>
          <w:sz w:val="24"/>
          <w:szCs w:val="24"/>
          <w:highlight w:val="white"/>
        </w:rPr>
        <w:t xml:space="preserve">  сільської ради Ужгородського району,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56655F" w:rsidRPr="00EF637C"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2"/>
          <w:highlight w:val="white"/>
        </w:rPr>
      </w:pPr>
      <w:r>
        <w:rPr>
          <w:rFonts w:cs="Times New Roman"/>
          <w:sz w:val="24"/>
          <w:szCs w:val="24"/>
          <w:highlight w:val="white"/>
        </w:rPr>
        <w:t>Детальний план території для розміщення в</w:t>
      </w:r>
      <w:r w:rsidR="00EF637C">
        <w:rPr>
          <w:rFonts w:cs="Times New Roman"/>
          <w:sz w:val="24"/>
          <w:szCs w:val="24"/>
          <w:highlight w:val="white"/>
        </w:rPr>
        <w:t>івчарень, садиби та сіносховища</w:t>
      </w:r>
      <w:r>
        <w:rPr>
          <w:rFonts w:cs="Times New Roman"/>
          <w:sz w:val="24"/>
          <w:szCs w:val="24"/>
          <w:highlight w:val="white"/>
        </w:rPr>
        <w:t xml:space="preserve">, за межами населеного пункту на території </w:t>
      </w:r>
      <w:proofErr w:type="spellStart"/>
      <w:r>
        <w:rPr>
          <w:rFonts w:cs="Times New Roman"/>
          <w:sz w:val="24"/>
          <w:szCs w:val="24"/>
          <w:highlight w:val="white"/>
        </w:rPr>
        <w:t>Великодобронської</w:t>
      </w:r>
      <w:proofErr w:type="spellEnd"/>
      <w:r>
        <w:rPr>
          <w:rFonts w:cs="Times New Roman"/>
          <w:sz w:val="24"/>
          <w:szCs w:val="24"/>
          <w:highlight w:val="white"/>
        </w:rPr>
        <w:t xml:space="preserve">  сільської ради Ужгородського району розроблено відповідно до </w:t>
      </w:r>
      <w:r w:rsidRPr="00EF637C">
        <w:rPr>
          <w:rFonts w:cs="Times New Roman"/>
          <w:bCs/>
          <w:sz w:val="24"/>
          <w:szCs w:val="24"/>
          <w:highlight w:val="white"/>
        </w:rPr>
        <w:t>Розпорядження Ужгородської районної державної адміністрації</w:t>
      </w:r>
      <w:r w:rsidR="00EF637C">
        <w:rPr>
          <w:rFonts w:cs="Times New Roman"/>
          <w:bCs/>
          <w:sz w:val="24"/>
          <w:szCs w:val="24"/>
          <w:highlight w:val="white"/>
        </w:rPr>
        <w:t xml:space="preserve">         </w:t>
      </w:r>
      <w:r w:rsidRPr="00EF637C">
        <w:rPr>
          <w:rFonts w:cs="Times New Roman"/>
          <w:bCs/>
          <w:sz w:val="24"/>
          <w:szCs w:val="24"/>
          <w:highlight w:val="white"/>
        </w:rPr>
        <w:t xml:space="preserve"> №</w:t>
      </w:r>
      <w:r w:rsidR="00EF637C">
        <w:rPr>
          <w:rFonts w:cs="Times New Roman"/>
          <w:bCs/>
          <w:sz w:val="24"/>
          <w:szCs w:val="24"/>
          <w:highlight w:val="white"/>
        </w:rPr>
        <w:t xml:space="preserve"> </w:t>
      </w:r>
      <w:r w:rsidRPr="00EF637C">
        <w:rPr>
          <w:rFonts w:cs="Times New Roman"/>
          <w:bCs/>
          <w:sz w:val="24"/>
          <w:szCs w:val="24"/>
          <w:highlight w:val="white"/>
        </w:rPr>
        <w:t>134  від 17.05.2019 року</w:t>
      </w:r>
      <w:r w:rsidRPr="00EF637C">
        <w:rPr>
          <w:rFonts w:cs="Times New Roman"/>
          <w:sz w:val="22"/>
          <w:highlight w:val="white"/>
        </w:rPr>
        <w:t>.</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Детальний план території для розміщення вівчарень, садиби</w:t>
      </w:r>
      <w:r w:rsidR="00EF637C">
        <w:rPr>
          <w:rFonts w:cs="Times New Roman"/>
          <w:sz w:val="24"/>
          <w:szCs w:val="24"/>
          <w:highlight w:val="white"/>
        </w:rPr>
        <w:t xml:space="preserve"> та сіносховища</w:t>
      </w:r>
      <w:r>
        <w:rPr>
          <w:rFonts w:cs="Times New Roman"/>
          <w:sz w:val="24"/>
          <w:szCs w:val="24"/>
          <w:highlight w:val="white"/>
        </w:rPr>
        <w:t xml:space="preserve">, за межами населеного пункту на території </w:t>
      </w:r>
      <w:proofErr w:type="spellStart"/>
      <w:r>
        <w:rPr>
          <w:rFonts w:cs="Times New Roman"/>
          <w:sz w:val="24"/>
          <w:szCs w:val="24"/>
          <w:highlight w:val="white"/>
        </w:rPr>
        <w:t>Великодобронської</w:t>
      </w:r>
      <w:proofErr w:type="spellEnd"/>
      <w:r>
        <w:rPr>
          <w:rFonts w:cs="Times New Roman"/>
          <w:sz w:val="24"/>
          <w:szCs w:val="24"/>
          <w:highlight w:val="white"/>
        </w:rPr>
        <w:t xml:space="preserve">  сільської ради Ужгородського району,</w:t>
      </w:r>
      <w:r>
        <w:rPr>
          <w:rFonts w:cs="Times New Roman"/>
          <w:color w:val="000000"/>
          <w:sz w:val="24"/>
          <w:szCs w:val="24"/>
          <w:highlight w:val="white"/>
        </w:rPr>
        <w:t xml:space="preserve"> розробляється відповідно до схеми планування території району та області з урахуванням державних і регіональних інтересів</w:t>
      </w:r>
      <w:r>
        <w:rPr>
          <w:rFonts w:ascii="Calibri" w:hAnsi="Calibri" w:cs="Calibri"/>
          <w:color w:val="000000"/>
          <w:sz w:val="22"/>
          <w:highlight w:val="white"/>
        </w:rPr>
        <w:t xml:space="preserve"> та</w:t>
      </w:r>
      <w:r>
        <w:rPr>
          <w:rFonts w:cs="Times New Roman"/>
          <w:sz w:val="24"/>
          <w:szCs w:val="24"/>
          <w:highlight w:val="white"/>
        </w:rPr>
        <w:t xml:space="preserve"> враховує Схему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56655F" w:rsidRDefault="0056655F" w:rsidP="0056655F">
      <w:pPr>
        <w:tabs>
          <w:tab w:val="left" w:pos="8236"/>
          <w:tab w:val="left" w:pos="8378"/>
          <w:tab w:val="left" w:pos="8520"/>
          <w:tab w:val="left" w:pos="8804"/>
          <w:tab w:val="left" w:pos="8946"/>
        </w:tabs>
        <w:autoSpaceDE w:val="0"/>
        <w:autoSpaceDN w:val="0"/>
        <w:adjustRightInd w:val="0"/>
        <w:spacing w:before="240" w:after="0" w:line="240" w:lineRule="auto"/>
        <w:ind w:right="-92" w:firstLine="567"/>
        <w:jc w:val="center"/>
        <w:rPr>
          <w:rFonts w:cs="Times New Roman"/>
          <w:b/>
          <w:bCs/>
          <w:sz w:val="24"/>
          <w:szCs w:val="24"/>
          <w:highlight w:val="white"/>
        </w:rPr>
      </w:pPr>
      <w:r>
        <w:rPr>
          <w:rFonts w:cs="Times New Roman"/>
          <w:b/>
          <w:bCs/>
          <w:sz w:val="24"/>
          <w:szCs w:val="24"/>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 xml:space="preserve">Відповідно до частини першої статті 3 Закону України </w:t>
      </w:r>
      <w:r w:rsidRPr="0056655F">
        <w:rPr>
          <w:rFonts w:cs="Times New Roman"/>
          <w:sz w:val="24"/>
          <w:szCs w:val="24"/>
          <w:highlight w:val="white"/>
        </w:rPr>
        <w:t>«</w:t>
      </w:r>
      <w:r>
        <w:rPr>
          <w:rFonts w:cs="Times New Roman"/>
          <w:sz w:val="24"/>
          <w:szCs w:val="24"/>
          <w:highlight w:val="white"/>
        </w:rPr>
        <w:t>Про оцінку впливу на довкілля</w:t>
      </w:r>
      <w:r w:rsidRPr="0056655F">
        <w:rPr>
          <w:rFonts w:cs="Times New Roman"/>
          <w:sz w:val="24"/>
          <w:szCs w:val="24"/>
          <w:highlight w:val="white"/>
        </w:rPr>
        <w:t xml:space="preserve">», </w:t>
      </w:r>
      <w:r>
        <w:rPr>
          <w:rFonts w:cs="Times New Roman"/>
          <w:sz w:val="24"/>
          <w:szCs w:val="24"/>
          <w:highlight w:val="white"/>
        </w:rPr>
        <w:t>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56655F" w:rsidRPr="0056655F" w:rsidRDefault="0056655F" w:rsidP="00EF637C">
      <w:pPr>
        <w:tabs>
          <w:tab w:val="left" w:pos="8236"/>
          <w:tab w:val="left" w:pos="8378"/>
          <w:tab w:val="left" w:pos="8520"/>
          <w:tab w:val="left" w:pos="8804"/>
          <w:tab w:val="left" w:pos="8946"/>
        </w:tabs>
        <w:autoSpaceDE w:val="0"/>
        <w:autoSpaceDN w:val="0"/>
        <w:adjustRightInd w:val="0"/>
        <w:spacing w:before="240" w:after="0" w:line="240" w:lineRule="auto"/>
        <w:ind w:right="-92"/>
        <w:rPr>
          <w:rFonts w:ascii="Calibri" w:hAnsi="Calibri" w:cs="Calibri"/>
          <w:sz w:val="22"/>
          <w:lang w:val="ru-RU"/>
        </w:rPr>
      </w:pPr>
    </w:p>
    <w:p w:rsidR="0056655F" w:rsidRDefault="0056655F" w:rsidP="0056655F">
      <w:pPr>
        <w:tabs>
          <w:tab w:val="left" w:pos="8236"/>
          <w:tab w:val="left" w:pos="8378"/>
          <w:tab w:val="left" w:pos="8520"/>
          <w:tab w:val="left" w:pos="8804"/>
          <w:tab w:val="left" w:pos="8946"/>
        </w:tabs>
        <w:autoSpaceDE w:val="0"/>
        <w:autoSpaceDN w:val="0"/>
        <w:adjustRightInd w:val="0"/>
        <w:spacing w:before="240" w:after="0" w:line="240" w:lineRule="auto"/>
        <w:ind w:right="-92" w:firstLine="567"/>
        <w:jc w:val="center"/>
        <w:rPr>
          <w:rFonts w:cs="Times New Roman"/>
          <w:b/>
          <w:bCs/>
          <w:sz w:val="24"/>
          <w:szCs w:val="24"/>
          <w:highlight w:val="white"/>
        </w:rPr>
      </w:pPr>
      <w:r>
        <w:rPr>
          <w:rFonts w:cs="Times New Roman"/>
          <w:b/>
          <w:bCs/>
          <w:sz w:val="24"/>
          <w:szCs w:val="24"/>
          <w:highlight w:val="white"/>
        </w:rPr>
        <w:lastRenderedPageBreak/>
        <w:t>ЙМОВІРНІ НАСЛІДКИ:</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а) для довкілля;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 xml:space="preserve">В ході здійснення СЕО мають бути оцінені ймовірні наслідки реалізації документа державного планування детальний план території за межами населеного пункту на території </w:t>
      </w:r>
      <w:proofErr w:type="spellStart"/>
      <w:r>
        <w:rPr>
          <w:rFonts w:cs="Times New Roman"/>
          <w:sz w:val="24"/>
          <w:szCs w:val="24"/>
          <w:highlight w:val="white"/>
        </w:rPr>
        <w:t>Великодобронської</w:t>
      </w:r>
      <w:proofErr w:type="spellEnd"/>
      <w:r>
        <w:rPr>
          <w:rFonts w:cs="Times New Roman"/>
          <w:sz w:val="24"/>
          <w:szCs w:val="24"/>
          <w:highlight w:val="white"/>
        </w:rPr>
        <w:t xml:space="preserve">  сільської ради Ужгородського району, зокрема мають бути оцінені наслідки для таких компонентів довкілля: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w:t>
      </w:r>
      <w:r w:rsidR="00EF637C">
        <w:rPr>
          <w:rFonts w:cs="Times New Roman"/>
          <w:sz w:val="24"/>
          <w:szCs w:val="24"/>
          <w:highlight w:val="white"/>
          <w:lang w:val="ru-RU"/>
        </w:rPr>
        <w:t xml:space="preserve"> </w:t>
      </w:r>
      <w:r>
        <w:rPr>
          <w:rFonts w:cs="Times New Roman"/>
          <w:sz w:val="24"/>
          <w:szCs w:val="24"/>
          <w:highlight w:val="white"/>
        </w:rPr>
        <w:t>ґрунти;</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w:t>
      </w:r>
      <w:r w:rsidR="00EF637C">
        <w:rPr>
          <w:rFonts w:cs="Times New Roman"/>
          <w:sz w:val="24"/>
          <w:szCs w:val="24"/>
          <w:highlight w:val="white"/>
          <w:lang w:val="ru-RU"/>
        </w:rPr>
        <w:t xml:space="preserve"> </w:t>
      </w:r>
      <w:r>
        <w:rPr>
          <w:rFonts w:cs="Times New Roman"/>
          <w:sz w:val="24"/>
          <w:szCs w:val="24"/>
          <w:highlight w:val="white"/>
        </w:rPr>
        <w:t>атмосферне повітря;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w:t>
      </w:r>
      <w:r w:rsidR="00EF637C">
        <w:rPr>
          <w:rFonts w:cs="Times New Roman"/>
          <w:sz w:val="24"/>
          <w:szCs w:val="24"/>
          <w:highlight w:val="white"/>
          <w:lang w:val="ru-RU"/>
        </w:rPr>
        <w:t xml:space="preserve"> </w:t>
      </w:r>
      <w:r>
        <w:rPr>
          <w:rFonts w:cs="Times New Roman"/>
          <w:sz w:val="24"/>
          <w:szCs w:val="24"/>
          <w:highlight w:val="white"/>
        </w:rPr>
        <w:t>водні ресурси;</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w:t>
      </w:r>
      <w:r w:rsidR="00EF637C">
        <w:rPr>
          <w:rFonts w:cs="Times New Roman"/>
          <w:sz w:val="24"/>
          <w:szCs w:val="24"/>
          <w:highlight w:val="white"/>
          <w:lang w:val="ru-RU"/>
        </w:rPr>
        <w:t xml:space="preserve"> </w:t>
      </w:r>
      <w:r>
        <w:rPr>
          <w:rFonts w:cs="Times New Roman"/>
          <w:sz w:val="24"/>
          <w:szCs w:val="24"/>
          <w:highlight w:val="white"/>
        </w:rPr>
        <w:t xml:space="preserve">стан фауни, флори, </w:t>
      </w:r>
      <w:proofErr w:type="spellStart"/>
      <w:r>
        <w:rPr>
          <w:rFonts w:cs="Times New Roman"/>
          <w:sz w:val="24"/>
          <w:szCs w:val="24"/>
          <w:highlight w:val="white"/>
        </w:rPr>
        <w:t>біорізноманіття</w:t>
      </w:r>
      <w:proofErr w:type="spellEnd"/>
      <w:r>
        <w:rPr>
          <w:rFonts w:cs="Times New Roman"/>
          <w:sz w:val="24"/>
          <w:szCs w:val="24"/>
          <w:highlight w:val="white"/>
        </w:rPr>
        <w:t>, землі (</w:t>
      </w:r>
      <w:proofErr w:type="gramStart"/>
      <w:r>
        <w:rPr>
          <w:rFonts w:cs="Times New Roman"/>
          <w:sz w:val="24"/>
          <w:szCs w:val="24"/>
          <w:highlight w:val="white"/>
        </w:rPr>
        <w:t>у</w:t>
      </w:r>
      <w:proofErr w:type="gramEnd"/>
      <w:r>
        <w:rPr>
          <w:rFonts w:cs="Times New Roman"/>
          <w:sz w:val="24"/>
          <w:szCs w:val="24"/>
          <w:highlight w:val="white"/>
        </w:rPr>
        <w:t xml:space="preserve"> тому числі вилучення земельних ділянок);</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w:t>
      </w:r>
      <w:r w:rsidR="00EF637C">
        <w:rPr>
          <w:rFonts w:cs="Times New Roman"/>
          <w:sz w:val="24"/>
          <w:szCs w:val="24"/>
          <w:highlight w:val="white"/>
          <w:lang w:val="ru-RU"/>
        </w:rPr>
        <w:t xml:space="preserve"> </w:t>
      </w:r>
      <w:r>
        <w:rPr>
          <w:rFonts w:cs="Times New Roman"/>
          <w:sz w:val="24"/>
          <w:szCs w:val="24"/>
          <w:highlight w:val="white"/>
        </w:rPr>
        <w:t>кліматичні фактори;</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у тому числі для здоров’я населення.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б) для територій з природоохоронним статусом;</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в) транскордонні наслідки для довкілля, у тому числі для здоров’я населення – відсутні.</w:t>
      </w:r>
    </w:p>
    <w:p w:rsidR="0056655F" w:rsidRDefault="0056655F" w:rsidP="0056655F">
      <w:pPr>
        <w:tabs>
          <w:tab w:val="left" w:pos="8236"/>
          <w:tab w:val="left" w:pos="8378"/>
          <w:tab w:val="left" w:pos="8520"/>
          <w:tab w:val="left" w:pos="8804"/>
          <w:tab w:val="left" w:pos="8946"/>
        </w:tabs>
        <w:autoSpaceDE w:val="0"/>
        <w:autoSpaceDN w:val="0"/>
        <w:adjustRightInd w:val="0"/>
        <w:spacing w:before="240" w:after="0" w:line="240" w:lineRule="auto"/>
        <w:ind w:right="-92" w:firstLine="567"/>
        <w:jc w:val="center"/>
        <w:rPr>
          <w:rFonts w:cs="Times New Roman"/>
          <w:b/>
          <w:bCs/>
          <w:sz w:val="24"/>
          <w:szCs w:val="24"/>
          <w:highlight w:val="white"/>
        </w:rPr>
      </w:pPr>
      <w:r>
        <w:rPr>
          <w:rFonts w:cs="Times New Roman"/>
          <w:b/>
          <w:bCs/>
          <w:sz w:val="24"/>
          <w:szCs w:val="24"/>
          <w:highlight w:val="white"/>
        </w:rPr>
        <w:t>ВИПРАВДАНІ АЛЬТЕРНАТИВИ, ЯКІ НЕОБХІДНО РОЗГЛЯНУТИ,</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center"/>
        <w:rPr>
          <w:rFonts w:cs="Times New Roman"/>
          <w:b/>
          <w:bCs/>
          <w:sz w:val="24"/>
          <w:szCs w:val="24"/>
          <w:highlight w:val="white"/>
        </w:rPr>
      </w:pPr>
      <w:r>
        <w:rPr>
          <w:rFonts w:cs="Times New Roman"/>
          <w:b/>
          <w:bCs/>
          <w:sz w:val="24"/>
          <w:szCs w:val="24"/>
          <w:highlight w:val="white"/>
        </w:rPr>
        <w:t>У ТОМУ ЧИСЛІ ЯКЩО ДОКУМЕНТ ДЕРЖАВНОГО ПЛАНУВАННЯ НЕ БУДЕ ЗАТВЕРДЖЕНО.</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З метою розгляду альтернативних проектних рішень та їх екологічних наслідків під час СЕО детальний план території для розміщення в</w:t>
      </w:r>
      <w:r w:rsidR="00EF637C">
        <w:rPr>
          <w:rFonts w:cs="Times New Roman"/>
          <w:sz w:val="24"/>
          <w:szCs w:val="24"/>
          <w:highlight w:val="white"/>
        </w:rPr>
        <w:t>івчарень, садиби та сіносховища</w:t>
      </w:r>
      <w:r>
        <w:rPr>
          <w:rFonts w:cs="Times New Roman"/>
          <w:sz w:val="24"/>
          <w:szCs w:val="24"/>
          <w:highlight w:val="white"/>
        </w:rPr>
        <w:t xml:space="preserve">, за межами населеного пункту на території </w:t>
      </w:r>
      <w:proofErr w:type="spellStart"/>
      <w:r>
        <w:rPr>
          <w:rFonts w:cs="Times New Roman"/>
          <w:sz w:val="24"/>
          <w:szCs w:val="24"/>
          <w:highlight w:val="white"/>
        </w:rPr>
        <w:t>Великодобронської</w:t>
      </w:r>
      <w:proofErr w:type="spellEnd"/>
      <w:r>
        <w:rPr>
          <w:rFonts w:cs="Times New Roman"/>
          <w:sz w:val="24"/>
          <w:szCs w:val="24"/>
          <w:highlight w:val="white"/>
        </w:rPr>
        <w:t xml:space="preserve">  сільської ради Ужгородського району, передбачається розглянути </w:t>
      </w:r>
      <w:r w:rsidRPr="0056655F">
        <w:rPr>
          <w:rFonts w:cs="Times New Roman"/>
          <w:sz w:val="24"/>
          <w:szCs w:val="24"/>
          <w:highlight w:val="white"/>
        </w:rPr>
        <w:t>«</w:t>
      </w:r>
      <w:r>
        <w:rPr>
          <w:rFonts w:cs="Times New Roman"/>
          <w:sz w:val="24"/>
          <w:szCs w:val="24"/>
          <w:highlight w:val="white"/>
        </w:rPr>
        <w:t>Нульовий сценарій</w:t>
      </w:r>
      <w:r w:rsidRPr="0056655F">
        <w:rPr>
          <w:rFonts w:cs="Times New Roman"/>
          <w:sz w:val="24"/>
          <w:szCs w:val="24"/>
          <w:highlight w:val="white"/>
        </w:rPr>
        <w:t xml:space="preserve">», </w:t>
      </w:r>
      <w:r>
        <w:rPr>
          <w:rFonts w:cs="Times New Roman"/>
          <w:sz w:val="24"/>
          <w:szCs w:val="24"/>
          <w:highlight w:val="white"/>
        </w:rPr>
        <w:t>без впровадження проектних змін.</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 xml:space="preserve">Альтернатива 1: </w:t>
      </w:r>
      <w:r w:rsidRPr="0056655F">
        <w:rPr>
          <w:rFonts w:cs="Times New Roman"/>
          <w:sz w:val="24"/>
          <w:szCs w:val="24"/>
          <w:highlight w:val="white"/>
          <w:lang w:val="ru-RU"/>
        </w:rPr>
        <w:t>«</w:t>
      </w:r>
      <w:r>
        <w:rPr>
          <w:rFonts w:cs="Times New Roman"/>
          <w:sz w:val="24"/>
          <w:szCs w:val="24"/>
          <w:highlight w:val="white"/>
        </w:rPr>
        <w:t>Нульовий сценарій</w:t>
      </w:r>
      <w:r w:rsidRPr="0056655F">
        <w:rPr>
          <w:rFonts w:cs="Times New Roman"/>
          <w:sz w:val="24"/>
          <w:szCs w:val="24"/>
          <w:highlight w:val="white"/>
          <w:lang w:val="ru-RU"/>
        </w:rPr>
        <w:t xml:space="preserve">» – </w:t>
      </w:r>
      <w:r>
        <w:rPr>
          <w:rFonts w:cs="Times New Roman"/>
          <w:sz w:val="24"/>
          <w:szCs w:val="24"/>
          <w:highlight w:val="white"/>
        </w:rPr>
        <w:t>тобто опис, прогнозування та оцінка ситуації у випадку не</w:t>
      </w:r>
      <w:r w:rsidR="00EF637C">
        <w:rPr>
          <w:rFonts w:cs="Times New Roman"/>
          <w:sz w:val="24"/>
          <w:szCs w:val="24"/>
          <w:highlight w:val="white"/>
        </w:rPr>
        <w:t xml:space="preserve"> </w:t>
      </w:r>
      <w:r>
        <w:rPr>
          <w:rFonts w:cs="Times New Roman"/>
          <w:sz w:val="24"/>
          <w:szCs w:val="24"/>
          <w:highlight w:val="white"/>
        </w:rPr>
        <w:t>затвердження зазначеного документа державного планування.</w:t>
      </w:r>
    </w:p>
    <w:p w:rsidR="0056655F" w:rsidRDefault="0056655F" w:rsidP="0056655F">
      <w:pPr>
        <w:tabs>
          <w:tab w:val="left" w:pos="8236"/>
          <w:tab w:val="left" w:pos="8378"/>
          <w:tab w:val="left" w:pos="8520"/>
          <w:tab w:val="left" w:pos="8804"/>
          <w:tab w:val="left" w:pos="8946"/>
        </w:tabs>
        <w:autoSpaceDE w:val="0"/>
        <w:autoSpaceDN w:val="0"/>
        <w:adjustRightInd w:val="0"/>
        <w:spacing w:before="240" w:after="0" w:line="240" w:lineRule="auto"/>
        <w:ind w:right="-92" w:firstLine="567"/>
        <w:jc w:val="center"/>
        <w:rPr>
          <w:rFonts w:cs="Times New Roman"/>
          <w:b/>
          <w:bCs/>
          <w:sz w:val="24"/>
          <w:szCs w:val="24"/>
          <w:highlight w:val="white"/>
        </w:rPr>
      </w:pPr>
      <w:r>
        <w:rPr>
          <w:rFonts w:cs="Times New Roman"/>
          <w:b/>
          <w:bCs/>
          <w:sz w:val="24"/>
          <w:szCs w:val="24"/>
          <w:highlight w:val="white"/>
        </w:rPr>
        <w:t>ДОСЛІДЖЕННЯ, ЯКІ НЕОБХІДНО ПРОВЕСТИ, МЕТОДИ І КРИТЕРІЇ, ЩО ВИКОРИСТОВУВАТИМУТЬСЯ ПІД ЧАС СТРАТЕГІЧНОЇ ЕКОЛОГІЧНОЇ ОЦІНКИ.</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Для здійснення стратегічної екологічної оцінки будуть використовуватись логічні і формалізовані методи прогнозування.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Для підготовки звіту СЕО передбачається використовувати наступну інформацію:</w:t>
      </w:r>
    </w:p>
    <w:p w:rsidR="0056655F" w:rsidRDefault="0056655F" w:rsidP="0056655F">
      <w:pPr>
        <w:numPr>
          <w:ilvl w:val="0"/>
          <w:numId w:val="1"/>
        </w:num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доповіді про стан довкілля;</w:t>
      </w:r>
    </w:p>
    <w:p w:rsidR="0056655F" w:rsidRDefault="0056655F" w:rsidP="0056655F">
      <w:pPr>
        <w:numPr>
          <w:ilvl w:val="0"/>
          <w:numId w:val="1"/>
        </w:num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статистичну інформацію;</w:t>
      </w:r>
    </w:p>
    <w:p w:rsidR="0056655F" w:rsidRDefault="0056655F" w:rsidP="0056655F">
      <w:pPr>
        <w:numPr>
          <w:ilvl w:val="0"/>
          <w:numId w:val="1"/>
        </w:num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інформація, яка включена в інші акти законодавства, які мають відношення до проекту ДДП;</w:t>
      </w:r>
    </w:p>
    <w:p w:rsidR="0056655F" w:rsidRDefault="0056655F" w:rsidP="0056655F">
      <w:pPr>
        <w:numPr>
          <w:ilvl w:val="0"/>
          <w:numId w:val="1"/>
        </w:num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дані моніторингу стану довкілля;</w:t>
      </w:r>
    </w:p>
    <w:p w:rsidR="0056655F" w:rsidRDefault="0056655F" w:rsidP="0056655F">
      <w:pPr>
        <w:numPr>
          <w:ilvl w:val="0"/>
          <w:numId w:val="1"/>
        </w:num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інша доступна інформація.</w:t>
      </w:r>
    </w:p>
    <w:p w:rsidR="0056655F" w:rsidRDefault="0056655F" w:rsidP="0056655F">
      <w:pPr>
        <w:tabs>
          <w:tab w:val="left" w:pos="8236"/>
          <w:tab w:val="left" w:pos="8378"/>
          <w:tab w:val="left" w:pos="8520"/>
          <w:tab w:val="left" w:pos="8804"/>
          <w:tab w:val="left" w:pos="8946"/>
        </w:tabs>
        <w:autoSpaceDE w:val="0"/>
        <w:autoSpaceDN w:val="0"/>
        <w:adjustRightInd w:val="0"/>
        <w:spacing w:before="240" w:after="0" w:line="240" w:lineRule="auto"/>
        <w:ind w:right="-92" w:firstLine="567"/>
        <w:jc w:val="center"/>
        <w:rPr>
          <w:rFonts w:cs="Times New Roman"/>
          <w:b/>
          <w:bCs/>
          <w:sz w:val="24"/>
          <w:szCs w:val="24"/>
          <w:highlight w:val="white"/>
        </w:rPr>
      </w:pPr>
      <w:r>
        <w:rPr>
          <w:rFonts w:cs="Times New Roman"/>
          <w:b/>
          <w:bCs/>
          <w:sz w:val="24"/>
          <w:szCs w:val="24"/>
          <w:highlight w:val="white"/>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 xml:space="preserve">Так, Закон України </w:t>
      </w:r>
      <w:r w:rsidRPr="0056655F">
        <w:rPr>
          <w:rFonts w:cs="Times New Roman"/>
          <w:sz w:val="24"/>
          <w:szCs w:val="24"/>
          <w:highlight w:val="white"/>
        </w:rPr>
        <w:t>«</w:t>
      </w:r>
      <w:r>
        <w:rPr>
          <w:rFonts w:cs="Times New Roman"/>
          <w:sz w:val="24"/>
          <w:szCs w:val="24"/>
          <w:highlight w:val="white"/>
        </w:rPr>
        <w:t>Про охорону навколишнього природного середовища</w:t>
      </w:r>
      <w:r w:rsidRPr="0056655F">
        <w:rPr>
          <w:rFonts w:cs="Times New Roman"/>
          <w:sz w:val="24"/>
          <w:szCs w:val="24"/>
          <w:highlight w:val="white"/>
        </w:rPr>
        <w:t xml:space="preserve">», </w:t>
      </w:r>
      <w:r>
        <w:rPr>
          <w:rFonts w:cs="Times New Roman"/>
          <w:sz w:val="24"/>
          <w:szCs w:val="24"/>
          <w:highlight w:val="white"/>
        </w:rPr>
        <w:t>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а) раціонального і економного використання природних ресурсів на основі широкого застосування новітніх технологій;</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в) здійснення заходів щодо відтворення відновлюваних природних ресурсів;</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д) збереження територій та об’єктів природно-заповідного фонду, а також інших територій, що підлягають особливій охороні;</w:t>
      </w:r>
    </w:p>
    <w:p w:rsidR="0056655F" w:rsidRDefault="00EF637C" w:rsidP="00EF637C">
      <w:pPr>
        <w:tabs>
          <w:tab w:val="left" w:pos="8236"/>
          <w:tab w:val="left" w:pos="8378"/>
          <w:tab w:val="left" w:pos="8520"/>
          <w:tab w:val="left" w:pos="8804"/>
          <w:tab w:val="left" w:pos="8946"/>
        </w:tabs>
        <w:autoSpaceDE w:val="0"/>
        <w:autoSpaceDN w:val="0"/>
        <w:adjustRightInd w:val="0"/>
        <w:spacing w:after="0" w:line="240" w:lineRule="auto"/>
        <w:ind w:right="-92"/>
        <w:jc w:val="both"/>
        <w:rPr>
          <w:rFonts w:cs="Times New Roman"/>
          <w:sz w:val="24"/>
          <w:szCs w:val="24"/>
          <w:highlight w:val="white"/>
        </w:rPr>
      </w:pPr>
      <w:r>
        <w:rPr>
          <w:rFonts w:cs="Times New Roman"/>
          <w:sz w:val="24"/>
          <w:szCs w:val="24"/>
          <w:highlight w:val="white"/>
        </w:rPr>
        <w:t xml:space="preserve">        </w:t>
      </w:r>
      <w:r w:rsidR="0056655F">
        <w:rPr>
          <w:rFonts w:cs="Times New Roman"/>
          <w:sz w:val="24"/>
          <w:szCs w:val="24"/>
          <w:highlight w:val="white"/>
        </w:rPr>
        <w:t>е) здійснення господарської та іншої діяльності без порушення екологічних прав інших осіб;</w:t>
      </w:r>
      <w:r w:rsidR="0056655F">
        <w:rPr>
          <w:rFonts w:cs="Times New Roman"/>
          <w:sz w:val="24"/>
          <w:szCs w:val="24"/>
          <w:highlight w:val="white"/>
        </w:rPr>
        <w:br/>
      </w:r>
      <w:r>
        <w:rPr>
          <w:rFonts w:cs="Times New Roman"/>
          <w:sz w:val="24"/>
          <w:szCs w:val="24"/>
          <w:highlight w:val="white"/>
        </w:rPr>
        <w:t xml:space="preserve">        </w:t>
      </w:r>
      <w:r w:rsidR="0056655F">
        <w:rPr>
          <w:rFonts w:cs="Times New Roman"/>
          <w:sz w:val="24"/>
          <w:szCs w:val="24"/>
          <w:highlight w:val="white"/>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56655F" w:rsidRP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w:t>
      </w:r>
      <w:r w:rsidRPr="0056655F">
        <w:rPr>
          <w:rFonts w:cs="Times New Roman"/>
          <w:sz w:val="24"/>
          <w:szCs w:val="24"/>
          <w:highlight w:val="white"/>
        </w:rPr>
        <w:t>«</w:t>
      </w:r>
      <w:r>
        <w:rPr>
          <w:rFonts w:cs="Times New Roman"/>
          <w:sz w:val="24"/>
          <w:szCs w:val="24"/>
          <w:highlight w:val="white"/>
        </w:rPr>
        <w:t>Про тваринний світ</w:t>
      </w:r>
      <w:r w:rsidRPr="0056655F">
        <w:rPr>
          <w:rFonts w:cs="Times New Roman"/>
          <w:sz w:val="24"/>
          <w:szCs w:val="24"/>
          <w:highlight w:val="white"/>
        </w:rPr>
        <w:t>»:</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 </w:t>
      </w:r>
      <w:r>
        <w:rPr>
          <w:rFonts w:cs="Times New Roman"/>
          <w:sz w:val="24"/>
          <w:szCs w:val="24"/>
          <w:highlight w:val="white"/>
        </w:rPr>
        <w:t xml:space="preserve">збереження умов існування видового і популяційного </w:t>
      </w:r>
      <w:proofErr w:type="gramStart"/>
      <w:r>
        <w:rPr>
          <w:rFonts w:cs="Times New Roman"/>
          <w:sz w:val="24"/>
          <w:szCs w:val="24"/>
          <w:highlight w:val="white"/>
        </w:rPr>
        <w:t>р</w:t>
      </w:r>
      <w:proofErr w:type="gramEnd"/>
      <w:r>
        <w:rPr>
          <w:rFonts w:cs="Times New Roman"/>
          <w:sz w:val="24"/>
          <w:szCs w:val="24"/>
          <w:highlight w:val="white"/>
        </w:rPr>
        <w:t>ізноманіття тваринного світу в стані природної волі;</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w:t>
      </w:r>
      <w:r w:rsidR="00EF637C">
        <w:rPr>
          <w:rFonts w:cs="Times New Roman"/>
          <w:sz w:val="24"/>
          <w:szCs w:val="24"/>
          <w:highlight w:val="white"/>
          <w:lang w:val="ru-RU"/>
        </w:rPr>
        <w:t xml:space="preserve"> </w:t>
      </w:r>
      <w:r>
        <w:rPr>
          <w:rFonts w:cs="Times New Roman"/>
          <w:sz w:val="24"/>
          <w:szCs w:val="24"/>
          <w:highlight w:val="white"/>
        </w:rPr>
        <w:t xml:space="preserve">недопустимість погіршення середовища існування, шляхів </w:t>
      </w:r>
      <w:proofErr w:type="gramStart"/>
      <w:r>
        <w:rPr>
          <w:rFonts w:cs="Times New Roman"/>
          <w:sz w:val="24"/>
          <w:szCs w:val="24"/>
          <w:highlight w:val="white"/>
        </w:rPr>
        <w:t>м</w:t>
      </w:r>
      <w:proofErr w:type="gramEnd"/>
      <w:r>
        <w:rPr>
          <w:rFonts w:cs="Times New Roman"/>
          <w:sz w:val="24"/>
          <w:szCs w:val="24"/>
          <w:highlight w:val="white"/>
        </w:rPr>
        <w:t>іграції та умов розмноження диких тварин;</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w:t>
      </w:r>
      <w:r w:rsidR="00EF637C">
        <w:rPr>
          <w:rFonts w:cs="Times New Roman"/>
          <w:sz w:val="24"/>
          <w:szCs w:val="24"/>
          <w:highlight w:val="white"/>
          <w:lang w:val="ru-RU"/>
        </w:rPr>
        <w:t xml:space="preserve"> </w:t>
      </w:r>
      <w:r>
        <w:rPr>
          <w:rFonts w:cs="Times New Roman"/>
          <w:sz w:val="24"/>
          <w:szCs w:val="24"/>
          <w:highlight w:val="white"/>
        </w:rPr>
        <w:t>збереження цілісності природних угруповань диких тварин;</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 </w:t>
      </w:r>
      <w:r>
        <w:rPr>
          <w:rFonts w:cs="Times New Roman"/>
          <w:sz w:val="24"/>
          <w:szCs w:val="24"/>
          <w:highlight w:val="white"/>
        </w:rPr>
        <w:t xml:space="preserve">запобігання загибелі тварин </w:t>
      </w:r>
      <w:proofErr w:type="gramStart"/>
      <w:r>
        <w:rPr>
          <w:rFonts w:cs="Times New Roman"/>
          <w:sz w:val="24"/>
          <w:szCs w:val="24"/>
          <w:highlight w:val="white"/>
        </w:rPr>
        <w:t>п</w:t>
      </w:r>
      <w:proofErr w:type="gramEnd"/>
      <w:r>
        <w:rPr>
          <w:rFonts w:cs="Times New Roman"/>
          <w:sz w:val="24"/>
          <w:szCs w:val="24"/>
          <w:highlight w:val="white"/>
        </w:rPr>
        <w:t>ід час здійснення виробничих процесів;</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w:t>
      </w:r>
      <w:r w:rsidR="00EF637C">
        <w:rPr>
          <w:rFonts w:cs="Times New Roman"/>
          <w:sz w:val="24"/>
          <w:szCs w:val="24"/>
          <w:highlight w:val="white"/>
          <w:lang w:val="ru-RU"/>
        </w:rPr>
        <w:t xml:space="preserve"> </w:t>
      </w:r>
      <w:r>
        <w:rPr>
          <w:rFonts w:cs="Times New Roman"/>
          <w:sz w:val="24"/>
          <w:szCs w:val="24"/>
          <w:highlight w:val="white"/>
        </w:rPr>
        <w:t xml:space="preserve">охорону середовища існування, умов розмноження і шляхів </w:t>
      </w:r>
      <w:proofErr w:type="gramStart"/>
      <w:r>
        <w:rPr>
          <w:rFonts w:cs="Times New Roman"/>
          <w:sz w:val="24"/>
          <w:szCs w:val="24"/>
          <w:highlight w:val="white"/>
        </w:rPr>
        <w:t>м</w:t>
      </w:r>
      <w:proofErr w:type="gramEnd"/>
      <w:r>
        <w:rPr>
          <w:rFonts w:cs="Times New Roman"/>
          <w:sz w:val="24"/>
          <w:szCs w:val="24"/>
          <w:highlight w:val="white"/>
        </w:rPr>
        <w:t>іграції тварин;</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w:t>
      </w:r>
      <w:r w:rsidR="00EF637C">
        <w:rPr>
          <w:rFonts w:cs="Times New Roman"/>
          <w:sz w:val="24"/>
          <w:szCs w:val="24"/>
          <w:highlight w:val="white"/>
          <w:lang w:val="ru-RU"/>
        </w:rPr>
        <w:t xml:space="preserve"> </w:t>
      </w:r>
      <w:r>
        <w:rPr>
          <w:rFonts w:cs="Times New Roman"/>
          <w:sz w:val="24"/>
          <w:szCs w:val="24"/>
          <w:highlight w:val="white"/>
        </w:rPr>
        <w:t xml:space="preserve">недоторканість ділянок, що становлять особливу цінність для збереження тваринного </w:t>
      </w:r>
      <w:proofErr w:type="gramStart"/>
      <w:r>
        <w:rPr>
          <w:rFonts w:cs="Times New Roman"/>
          <w:sz w:val="24"/>
          <w:szCs w:val="24"/>
          <w:highlight w:val="white"/>
        </w:rPr>
        <w:t>св</w:t>
      </w:r>
      <w:proofErr w:type="gramEnd"/>
      <w:r>
        <w:rPr>
          <w:rFonts w:cs="Times New Roman"/>
          <w:sz w:val="24"/>
          <w:szCs w:val="24"/>
          <w:highlight w:val="white"/>
        </w:rPr>
        <w:t>іту;</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rPr>
        <w:t>-</w:t>
      </w:r>
      <w:r w:rsidR="00EF637C">
        <w:rPr>
          <w:rFonts w:cs="Times New Roman"/>
          <w:sz w:val="24"/>
          <w:szCs w:val="24"/>
          <w:highlight w:val="white"/>
        </w:rPr>
        <w:t xml:space="preserve"> </w:t>
      </w:r>
      <w:r>
        <w:rPr>
          <w:rFonts w:cs="Times New Roman"/>
          <w:sz w:val="24"/>
          <w:szCs w:val="24"/>
          <w:highlight w:val="white"/>
        </w:rPr>
        <w:t>розроблення і здійснення заходів, які будуть забезпечувати збереження шляхів міграції тварин.</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w:t>
      </w:r>
      <w:r w:rsidRPr="0056655F">
        <w:rPr>
          <w:rFonts w:cs="Times New Roman"/>
          <w:sz w:val="24"/>
          <w:szCs w:val="24"/>
          <w:highlight w:val="white"/>
        </w:rPr>
        <w:t>«</w:t>
      </w:r>
      <w:r>
        <w:rPr>
          <w:rFonts w:cs="Times New Roman"/>
          <w:sz w:val="24"/>
          <w:szCs w:val="24"/>
          <w:highlight w:val="white"/>
        </w:rPr>
        <w:t>Про забезпечення санітарного та епідемічного благополуччя населення</w:t>
      </w:r>
      <w:r w:rsidRPr="0056655F">
        <w:rPr>
          <w:rFonts w:cs="Times New Roman"/>
          <w:sz w:val="24"/>
          <w:szCs w:val="24"/>
          <w:highlight w:val="white"/>
        </w:rPr>
        <w:t xml:space="preserve">» </w:t>
      </w:r>
      <w:r>
        <w:rPr>
          <w:rFonts w:cs="Times New Roman"/>
          <w:sz w:val="24"/>
          <w:szCs w:val="24"/>
          <w:highlight w:val="white"/>
        </w:rPr>
        <w:t>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rPr>
        <w:t xml:space="preserve">– </w:t>
      </w:r>
      <w:r>
        <w:rPr>
          <w:rFonts w:cs="Times New Roman"/>
          <w:sz w:val="24"/>
          <w:szCs w:val="24"/>
          <w:highlight w:val="white"/>
        </w:rPr>
        <w:t>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 </w:t>
      </w:r>
      <w:r>
        <w:rPr>
          <w:rFonts w:cs="Times New Roman"/>
          <w:sz w:val="24"/>
          <w:szCs w:val="24"/>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56655F" w:rsidRDefault="0056655F" w:rsidP="0056655F">
      <w:pPr>
        <w:tabs>
          <w:tab w:val="left" w:pos="8236"/>
          <w:tab w:val="left" w:pos="8378"/>
          <w:tab w:val="left" w:pos="8520"/>
          <w:tab w:val="left" w:pos="8804"/>
          <w:tab w:val="left" w:pos="8946"/>
        </w:tabs>
        <w:autoSpaceDE w:val="0"/>
        <w:autoSpaceDN w:val="0"/>
        <w:adjustRightInd w:val="0"/>
        <w:spacing w:before="240" w:after="0" w:line="240" w:lineRule="auto"/>
        <w:ind w:right="-92" w:firstLine="567"/>
        <w:jc w:val="center"/>
        <w:rPr>
          <w:rFonts w:cs="Times New Roman"/>
          <w:b/>
          <w:bCs/>
          <w:sz w:val="24"/>
          <w:szCs w:val="24"/>
          <w:highlight w:val="white"/>
        </w:rPr>
      </w:pPr>
      <w:r>
        <w:rPr>
          <w:rFonts w:cs="Times New Roman"/>
          <w:b/>
          <w:bCs/>
          <w:sz w:val="24"/>
          <w:szCs w:val="24"/>
          <w:highlight w:val="white"/>
        </w:rPr>
        <w:t>ПРОПОЗИЦІЇ ЩОДО СТРУКТУРИ ТА ЗМІСТУ ЗВІТУ ПРО СТРАТЕГІЧНУ ЕКОЛОГІЧНУ ОЦІНКУ.</w:t>
      </w:r>
    </w:p>
    <w:p w:rsidR="0056655F" w:rsidRP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lang w:val="ru-RU"/>
        </w:rPr>
      </w:pPr>
      <w:r>
        <w:rPr>
          <w:rFonts w:cs="Times New Roman"/>
          <w:sz w:val="24"/>
          <w:szCs w:val="24"/>
          <w:highlight w:val="white"/>
        </w:rPr>
        <w:t xml:space="preserve">Стратегічна екологічна оцінка буде виконана в обсягах, визначених статтею 11 Закону України </w:t>
      </w:r>
      <w:r w:rsidRPr="0056655F">
        <w:rPr>
          <w:rFonts w:cs="Times New Roman"/>
          <w:sz w:val="24"/>
          <w:szCs w:val="24"/>
          <w:highlight w:val="white"/>
          <w:lang w:val="ru-RU"/>
        </w:rPr>
        <w:t>«</w:t>
      </w:r>
      <w:r>
        <w:rPr>
          <w:rFonts w:cs="Times New Roman"/>
          <w:sz w:val="24"/>
          <w:szCs w:val="24"/>
          <w:highlight w:val="white"/>
        </w:rPr>
        <w:t>Про стратегічну екологічну оцінку</w:t>
      </w:r>
      <w:r w:rsidRPr="0056655F">
        <w:rPr>
          <w:rFonts w:cs="Times New Roman"/>
          <w:sz w:val="24"/>
          <w:szCs w:val="24"/>
          <w:highlight w:val="white"/>
          <w:lang w:val="ru-RU"/>
        </w:rPr>
        <w:t>».</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Пропонується така структура Звіту із СЕО:</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1) </w:t>
      </w:r>
      <w:r>
        <w:rPr>
          <w:rFonts w:cs="Times New Roman"/>
          <w:sz w:val="24"/>
          <w:szCs w:val="24"/>
          <w:highlight w:val="white"/>
        </w:rPr>
        <w:t>змі</w:t>
      </w:r>
      <w:proofErr w:type="gramStart"/>
      <w:r>
        <w:rPr>
          <w:rFonts w:cs="Times New Roman"/>
          <w:sz w:val="24"/>
          <w:szCs w:val="24"/>
          <w:highlight w:val="white"/>
        </w:rPr>
        <w:t>ст</w:t>
      </w:r>
      <w:proofErr w:type="gramEnd"/>
      <w:r>
        <w:rPr>
          <w:rFonts w:cs="Times New Roman"/>
          <w:sz w:val="24"/>
          <w:szCs w:val="24"/>
          <w:highlight w:val="white"/>
        </w:rPr>
        <w:t xml:space="preserve"> та основні цілі документа державного планування, його зв’язок з іншими документами державного планування;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2) </w:t>
      </w:r>
      <w:r>
        <w:rPr>
          <w:rFonts w:cs="Times New Roman"/>
          <w:sz w:val="24"/>
          <w:szCs w:val="24"/>
          <w:highlight w:val="white"/>
        </w:rPr>
        <w:t xml:space="preserve">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w:t>
      </w:r>
      <w:proofErr w:type="gramStart"/>
      <w:r>
        <w:rPr>
          <w:rFonts w:cs="Times New Roman"/>
          <w:sz w:val="24"/>
          <w:szCs w:val="24"/>
          <w:highlight w:val="white"/>
        </w:rPr>
        <w:t>досл</w:t>
      </w:r>
      <w:proofErr w:type="gramEnd"/>
      <w:r>
        <w:rPr>
          <w:rFonts w:cs="Times New Roman"/>
          <w:sz w:val="24"/>
          <w:szCs w:val="24"/>
          <w:highlight w:val="white"/>
        </w:rPr>
        <w:t>іджень);</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3) </w:t>
      </w:r>
      <w:r>
        <w:rPr>
          <w:rFonts w:cs="Times New Roman"/>
          <w:sz w:val="24"/>
          <w:szCs w:val="24"/>
          <w:highlight w:val="white"/>
        </w:rPr>
        <w:t xml:space="preserve">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w:t>
      </w:r>
      <w:proofErr w:type="gramStart"/>
      <w:r>
        <w:rPr>
          <w:rFonts w:cs="Times New Roman"/>
          <w:sz w:val="24"/>
          <w:szCs w:val="24"/>
          <w:highlight w:val="white"/>
        </w:rPr>
        <w:t>досл</w:t>
      </w:r>
      <w:proofErr w:type="gramEnd"/>
      <w:r>
        <w:rPr>
          <w:rFonts w:cs="Times New Roman"/>
          <w:sz w:val="24"/>
          <w:szCs w:val="24"/>
          <w:highlight w:val="white"/>
        </w:rPr>
        <w:t>іджень);</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4) </w:t>
      </w:r>
      <w:r>
        <w:rPr>
          <w:rFonts w:cs="Times New Roman"/>
          <w:sz w:val="24"/>
          <w:szCs w:val="24"/>
          <w:highlight w:val="white"/>
        </w:rPr>
        <w:t xml:space="preserve">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w:t>
      </w:r>
      <w:proofErr w:type="gramStart"/>
      <w:r>
        <w:rPr>
          <w:rFonts w:cs="Times New Roman"/>
          <w:sz w:val="24"/>
          <w:szCs w:val="24"/>
          <w:highlight w:val="white"/>
        </w:rPr>
        <w:t>досл</w:t>
      </w:r>
      <w:proofErr w:type="gramEnd"/>
      <w:r>
        <w:rPr>
          <w:rFonts w:cs="Times New Roman"/>
          <w:sz w:val="24"/>
          <w:szCs w:val="24"/>
          <w:highlight w:val="white"/>
        </w:rPr>
        <w:t>іджень);</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5) </w:t>
      </w:r>
      <w:r>
        <w:rPr>
          <w:rFonts w:cs="Times New Roman"/>
          <w:sz w:val="24"/>
          <w:szCs w:val="24"/>
          <w:highlight w:val="white"/>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w:t>
      </w:r>
      <w:proofErr w:type="gramStart"/>
      <w:r>
        <w:rPr>
          <w:rFonts w:cs="Times New Roman"/>
          <w:sz w:val="24"/>
          <w:szCs w:val="24"/>
          <w:highlight w:val="white"/>
        </w:rPr>
        <w:t>р</w:t>
      </w:r>
      <w:proofErr w:type="gramEnd"/>
      <w:r>
        <w:rPr>
          <w:rFonts w:cs="Times New Roman"/>
          <w:sz w:val="24"/>
          <w:szCs w:val="24"/>
          <w:highlight w:val="white"/>
        </w:rPr>
        <w:t>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rPr>
        <w:t xml:space="preserve">6) </w:t>
      </w:r>
      <w:r>
        <w:rPr>
          <w:rFonts w:cs="Times New Roman"/>
          <w:sz w:val="24"/>
          <w:szCs w:val="24"/>
          <w:highlight w:val="white"/>
        </w:rPr>
        <w:t xml:space="preserve">опис наслідків для довкілля, у тому числі для здоров’я населення, у тому числі вторинних, кумулятивних, </w:t>
      </w:r>
      <w:proofErr w:type="spellStart"/>
      <w:r>
        <w:rPr>
          <w:rFonts w:cs="Times New Roman"/>
          <w:sz w:val="24"/>
          <w:szCs w:val="24"/>
          <w:highlight w:val="white"/>
        </w:rPr>
        <w:t>синергічних</w:t>
      </w:r>
      <w:proofErr w:type="spellEnd"/>
      <w:r>
        <w:rPr>
          <w:rFonts w:cs="Times New Roman"/>
          <w:sz w:val="24"/>
          <w:szCs w:val="24"/>
          <w:highlight w:val="white"/>
        </w:rPr>
        <w:t xml:space="preserve">, </w:t>
      </w:r>
      <w:proofErr w:type="spellStart"/>
      <w:r>
        <w:rPr>
          <w:rFonts w:cs="Times New Roman"/>
          <w:sz w:val="24"/>
          <w:szCs w:val="24"/>
          <w:highlight w:val="white"/>
        </w:rPr>
        <w:t>коротко-</w:t>
      </w:r>
      <w:proofErr w:type="spellEnd"/>
      <w:r>
        <w:rPr>
          <w:rFonts w:cs="Times New Roman"/>
          <w:sz w:val="24"/>
          <w:szCs w:val="24"/>
          <w:highlight w:val="white"/>
        </w:rPr>
        <w:t xml:space="preserve">, </w:t>
      </w:r>
      <w:proofErr w:type="spellStart"/>
      <w:r>
        <w:rPr>
          <w:rFonts w:cs="Times New Roman"/>
          <w:sz w:val="24"/>
          <w:szCs w:val="24"/>
          <w:highlight w:val="white"/>
        </w:rPr>
        <w:t>середньо-</w:t>
      </w:r>
      <w:proofErr w:type="spellEnd"/>
      <w:r>
        <w:rPr>
          <w:rFonts w:cs="Times New Roman"/>
          <w:sz w:val="24"/>
          <w:szCs w:val="24"/>
          <w:highlight w:val="white"/>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7) </w:t>
      </w:r>
      <w:r>
        <w:rPr>
          <w:rFonts w:cs="Times New Roman"/>
          <w:sz w:val="24"/>
          <w:szCs w:val="24"/>
          <w:highlight w:val="white"/>
        </w:rPr>
        <w:t>заходи, що передбачається вжити для запобігання, зменшення та пом’якшення негативних наслідків виконання документа державного планування;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rPr>
        <w:t xml:space="preserve">8) </w:t>
      </w:r>
      <w:r>
        <w:rPr>
          <w:rFonts w:cs="Times New Roman"/>
          <w:sz w:val="24"/>
          <w:szCs w:val="24"/>
          <w:highlight w:val="white"/>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9) </w:t>
      </w:r>
      <w:r>
        <w:rPr>
          <w:rFonts w:cs="Times New Roman"/>
          <w:sz w:val="24"/>
          <w:szCs w:val="24"/>
          <w:highlight w:val="white"/>
        </w:rPr>
        <w:t xml:space="preserve">заходи, передбачені для здійснення моніторингу наслідків виконання документа державного планування для довкілля, </w:t>
      </w:r>
      <w:proofErr w:type="gramStart"/>
      <w:r>
        <w:rPr>
          <w:rFonts w:cs="Times New Roman"/>
          <w:sz w:val="24"/>
          <w:szCs w:val="24"/>
          <w:highlight w:val="white"/>
        </w:rPr>
        <w:t>у</w:t>
      </w:r>
      <w:proofErr w:type="gramEnd"/>
      <w:r>
        <w:rPr>
          <w:rFonts w:cs="Times New Roman"/>
          <w:sz w:val="24"/>
          <w:szCs w:val="24"/>
          <w:highlight w:val="white"/>
        </w:rPr>
        <w:t xml:space="preserve"> тому числі для здоров’я населення;</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10) </w:t>
      </w:r>
      <w:r>
        <w:rPr>
          <w:rFonts w:cs="Times New Roman"/>
          <w:sz w:val="24"/>
          <w:szCs w:val="24"/>
          <w:highlight w:val="white"/>
        </w:rPr>
        <w:t>опис ймовірних транскордонних наслідкі</w:t>
      </w:r>
      <w:proofErr w:type="gramStart"/>
      <w:r>
        <w:rPr>
          <w:rFonts w:cs="Times New Roman"/>
          <w:sz w:val="24"/>
          <w:szCs w:val="24"/>
          <w:highlight w:val="white"/>
        </w:rPr>
        <w:t>в</w:t>
      </w:r>
      <w:proofErr w:type="gramEnd"/>
      <w:r>
        <w:rPr>
          <w:rFonts w:cs="Times New Roman"/>
          <w:sz w:val="24"/>
          <w:szCs w:val="24"/>
          <w:highlight w:val="white"/>
        </w:rPr>
        <w:t xml:space="preserve"> для довкілля, у тому числі для здоров’я населення (за наявності);</w:t>
      </w:r>
    </w:p>
    <w:p w:rsidR="0056655F"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sidRPr="0056655F">
        <w:rPr>
          <w:rFonts w:cs="Times New Roman"/>
          <w:sz w:val="24"/>
          <w:szCs w:val="24"/>
          <w:highlight w:val="white"/>
          <w:lang w:val="ru-RU"/>
        </w:rPr>
        <w:t xml:space="preserve">11) </w:t>
      </w:r>
      <w:r>
        <w:rPr>
          <w:rFonts w:cs="Times New Roman"/>
          <w:sz w:val="24"/>
          <w:szCs w:val="24"/>
          <w:highlight w:val="white"/>
        </w:rPr>
        <w:t>резюме нетехнічного характеру інформації, передбаченої пунктами 1-10 цієї частини, розраховане на широку аудиторію.</w:t>
      </w:r>
    </w:p>
    <w:p w:rsidR="0056655F" w:rsidRDefault="0056655F" w:rsidP="0056655F">
      <w:pPr>
        <w:tabs>
          <w:tab w:val="left" w:pos="8236"/>
          <w:tab w:val="left" w:pos="8378"/>
          <w:tab w:val="left" w:pos="8520"/>
          <w:tab w:val="left" w:pos="8804"/>
          <w:tab w:val="left" w:pos="8946"/>
        </w:tabs>
        <w:autoSpaceDE w:val="0"/>
        <w:autoSpaceDN w:val="0"/>
        <w:adjustRightInd w:val="0"/>
        <w:spacing w:before="240" w:after="0" w:line="240" w:lineRule="auto"/>
        <w:ind w:right="-92" w:firstLine="567"/>
        <w:jc w:val="center"/>
        <w:rPr>
          <w:rFonts w:cs="Times New Roman"/>
          <w:b/>
          <w:bCs/>
          <w:sz w:val="24"/>
          <w:szCs w:val="24"/>
          <w:highlight w:val="white"/>
        </w:rPr>
      </w:pPr>
      <w:r>
        <w:rPr>
          <w:rFonts w:cs="Times New Roman"/>
          <w:b/>
          <w:bCs/>
          <w:sz w:val="24"/>
          <w:szCs w:val="24"/>
          <w:highlight w:val="white"/>
        </w:rPr>
        <w:t>ОРГАН, ДО ЯКОГО ПОДАЮТЬСЯ ЗАУВАЖЕННЯ І ПРОПОЗИЦІЇ, ТА СТРОКИ ЇХ ПОДАННЯ.</w:t>
      </w:r>
    </w:p>
    <w:p w:rsidR="007F5A15" w:rsidRPr="007F5A15" w:rsidRDefault="0056655F" w:rsidP="007F5A15">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sz w:val="24"/>
          <w:szCs w:val="24"/>
          <w:highlight w:val="white"/>
        </w:rPr>
      </w:pPr>
      <w:r>
        <w:rPr>
          <w:rFonts w:cs="Times New Roman"/>
          <w:sz w:val="24"/>
          <w:szCs w:val="24"/>
          <w:highlight w:val="white"/>
        </w:rPr>
        <w:t>Зауваження і пропозиції до Заяви про визначення обсягу стратегічної екологічної оцінки детального плану території для розміщення в</w:t>
      </w:r>
      <w:r w:rsidR="001B5574">
        <w:rPr>
          <w:rFonts w:cs="Times New Roman"/>
          <w:sz w:val="24"/>
          <w:szCs w:val="24"/>
          <w:highlight w:val="white"/>
        </w:rPr>
        <w:t>івчарень, садиби та сіносховища</w:t>
      </w:r>
      <w:r>
        <w:rPr>
          <w:rFonts w:cs="Times New Roman"/>
          <w:sz w:val="24"/>
          <w:szCs w:val="24"/>
          <w:highlight w:val="white"/>
        </w:rPr>
        <w:t xml:space="preserve">, за межами населеного пункту на території </w:t>
      </w:r>
      <w:proofErr w:type="spellStart"/>
      <w:r>
        <w:rPr>
          <w:rFonts w:cs="Times New Roman"/>
          <w:sz w:val="24"/>
          <w:szCs w:val="24"/>
          <w:highlight w:val="white"/>
        </w:rPr>
        <w:t>Великодобронської</w:t>
      </w:r>
      <w:proofErr w:type="spellEnd"/>
      <w:r>
        <w:rPr>
          <w:rFonts w:cs="Times New Roman"/>
          <w:sz w:val="24"/>
          <w:szCs w:val="24"/>
          <w:highlight w:val="white"/>
        </w:rPr>
        <w:t xml:space="preserve">  сільської ради, Ужгородського району подаються </w:t>
      </w:r>
      <w:r w:rsidR="007F5A15">
        <w:rPr>
          <w:rFonts w:cs="Times New Roman"/>
          <w:sz w:val="24"/>
          <w:szCs w:val="24"/>
          <w:highlight w:val="white"/>
        </w:rPr>
        <w:t>у відділ</w:t>
      </w:r>
      <w:r>
        <w:rPr>
          <w:rFonts w:cs="Times New Roman"/>
          <w:sz w:val="24"/>
          <w:szCs w:val="24"/>
          <w:highlight w:val="white"/>
        </w:rPr>
        <w:t xml:space="preserve"> містобудування та архітектури Ужгородської районної державної адміністрації</w:t>
      </w:r>
      <w:bookmarkStart w:id="0" w:name="_xp3edfgnrpsr" w:colFirst="0" w:colLast="0"/>
      <w:bookmarkEnd w:id="0"/>
      <w:r w:rsidR="007F5A15" w:rsidRPr="003A0A5D">
        <w:rPr>
          <w:rFonts w:cs="Times New Roman"/>
          <w:sz w:val="24"/>
          <w:szCs w:val="24"/>
        </w:rPr>
        <w:t xml:space="preserve"> e-</w:t>
      </w:r>
      <w:proofErr w:type="spellStart"/>
      <w:r w:rsidR="007F5A15" w:rsidRPr="003A0A5D">
        <w:rPr>
          <w:rFonts w:cs="Times New Roman"/>
          <w:sz w:val="24"/>
          <w:szCs w:val="24"/>
        </w:rPr>
        <w:t>mail</w:t>
      </w:r>
      <w:proofErr w:type="spellEnd"/>
      <w:r w:rsidR="007F5A15" w:rsidRPr="003A0A5D">
        <w:rPr>
          <w:rFonts w:cs="Times New Roman"/>
          <w:sz w:val="24"/>
          <w:szCs w:val="24"/>
        </w:rPr>
        <w:t xml:space="preserve">: </w:t>
      </w:r>
      <w:hyperlink r:id="rId5" w:history="1">
        <w:r w:rsidR="007F5A15" w:rsidRPr="00052011">
          <w:rPr>
            <w:rStyle w:val="a4"/>
            <w:rFonts w:cs="Times New Roman"/>
            <w:color w:val="auto"/>
            <w:sz w:val="24"/>
            <w:szCs w:val="24"/>
            <w:u w:val="none"/>
          </w:rPr>
          <w:t>arhuzrda@ukr.net</w:t>
        </w:r>
      </w:hyperlink>
      <w:r w:rsidR="00463843">
        <w:rPr>
          <w:rFonts w:cs="Times New Roman"/>
          <w:sz w:val="24"/>
          <w:szCs w:val="24"/>
        </w:rPr>
        <w:t>, тел. 61-29-17</w:t>
      </w:r>
      <w:r w:rsidR="007F5A15">
        <w:rPr>
          <w:rFonts w:cs="Times New Roman"/>
          <w:sz w:val="24"/>
          <w:szCs w:val="24"/>
        </w:rPr>
        <w:t>.</w:t>
      </w:r>
    </w:p>
    <w:p w:rsidR="007F5A15" w:rsidRPr="00992F01" w:rsidRDefault="007F5A15" w:rsidP="007F5A15">
      <w:pPr>
        <w:shd w:val="clear" w:color="auto" w:fill="FFFFFF"/>
        <w:spacing w:after="0" w:line="240" w:lineRule="auto"/>
        <w:ind w:firstLine="709"/>
        <w:jc w:val="both"/>
        <w:rPr>
          <w:rFonts w:eastAsia="Arial" w:cs="Times New Roman"/>
          <w:color w:val="FF0000"/>
          <w:sz w:val="24"/>
          <w:szCs w:val="24"/>
        </w:rPr>
      </w:pPr>
      <w:r w:rsidRPr="00992F01">
        <w:rPr>
          <w:rFonts w:eastAsia="Arial" w:cs="Times New Roman"/>
          <w:sz w:val="24"/>
          <w:szCs w:val="24"/>
        </w:rPr>
        <w:t xml:space="preserve">Відповідальна особа: </w:t>
      </w:r>
      <w:r w:rsidRPr="003A0A5D">
        <w:rPr>
          <w:rFonts w:cs="Times New Roman"/>
          <w:sz w:val="24"/>
          <w:szCs w:val="24"/>
        </w:rPr>
        <w:t>Денис Г.М. –</w:t>
      </w:r>
      <w:r>
        <w:rPr>
          <w:rFonts w:cs="Times New Roman"/>
          <w:sz w:val="24"/>
          <w:szCs w:val="24"/>
        </w:rPr>
        <w:t xml:space="preserve"> </w:t>
      </w:r>
      <w:r w:rsidRPr="003A0A5D">
        <w:rPr>
          <w:rFonts w:cs="Times New Roman"/>
          <w:sz w:val="24"/>
          <w:szCs w:val="24"/>
        </w:rPr>
        <w:t>начальник відділу містобудування та архітектури Ужгородської районної держадміністрації.</w:t>
      </w:r>
    </w:p>
    <w:p w:rsidR="0056655F" w:rsidRPr="007F5A15" w:rsidRDefault="0056655F" w:rsidP="0056655F">
      <w:pPr>
        <w:tabs>
          <w:tab w:val="left" w:pos="8236"/>
          <w:tab w:val="left" w:pos="8378"/>
          <w:tab w:val="left" w:pos="8520"/>
          <w:tab w:val="left" w:pos="8804"/>
          <w:tab w:val="left" w:pos="8946"/>
        </w:tabs>
        <w:autoSpaceDE w:val="0"/>
        <w:autoSpaceDN w:val="0"/>
        <w:adjustRightInd w:val="0"/>
        <w:spacing w:after="0" w:line="240" w:lineRule="auto"/>
        <w:ind w:right="-92" w:firstLine="567"/>
        <w:jc w:val="both"/>
        <w:rPr>
          <w:rFonts w:cs="Times New Roman"/>
          <w:color w:val="FFFFFF"/>
          <w:sz w:val="24"/>
          <w:szCs w:val="24"/>
          <w:highlight w:val="white"/>
          <w:lang w:val="ru-RU"/>
        </w:rPr>
      </w:pPr>
      <w:r>
        <w:rPr>
          <w:rFonts w:cs="Times New Roman"/>
          <w:sz w:val="24"/>
          <w:szCs w:val="24"/>
          <w:highlight w:val="white"/>
        </w:rPr>
        <w:t>Строк подання зауважень і пропозицій становить</w:t>
      </w:r>
      <w:r>
        <w:rPr>
          <w:rFonts w:cs="Times New Roman"/>
          <w:color w:val="FFFFFF"/>
          <w:sz w:val="24"/>
          <w:szCs w:val="24"/>
          <w:highlight w:val="white"/>
        </w:rPr>
        <w:t>_</w:t>
      </w:r>
      <w:r>
        <w:rPr>
          <w:rFonts w:cs="Times New Roman"/>
          <w:sz w:val="24"/>
          <w:szCs w:val="24"/>
          <w:highlight w:val="white"/>
        </w:rPr>
        <w:t xml:space="preserve"> 15 днів, тобто до 15 квітня 2021  року. </w:t>
      </w:r>
      <w:r>
        <w:rPr>
          <w:rFonts w:cs="Times New Roman"/>
          <w:color w:val="FFFFFF"/>
          <w:sz w:val="24"/>
          <w:szCs w:val="24"/>
          <w:highlight w:val="white"/>
        </w:rPr>
        <w:t>22._ ________  2020 р.12</w:t>
      </w:r>
    </w:p>
    <w:p w:rsidR="00FD162E" w:rsidRDefault="00FD162E" w:rsidP="0056655F">
      <w:pPr>
        <w:ind w:right="-92"/>
      </w:pPr>
    </w:p>
    <w:sectPr w:rsidR="00FD162E" w:rsidSect="00434AB5">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6658E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6655F"/>
    <w:rsid w:val="00044F38"/>
    <w:rsid w:val="00052011"/>
    <w:rsid w:val="000602F3"/>
    <w:rsid w:val="001B5574"/>
    <w:rsid w:val="00463843"/>
    <w:rsid w:val="0056655F"/>
    <w:rsid w:val="007F5A15"/>
    <w:rsid w:val="00CB071A"/>
    <w:rsid w:val="00D15383"/>
    <w:rsid w:val="00D93390"/>
    <w:rsid w:val="00EF637C"/>
    <w:rsid w:val="00FD16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71A"/>
    <w:pPr>
      <w:autoSpaceDE w:val="0"/>
      <w:autoSpaceDN w:val="0"/>
      <w:spacing w:after="0" w:line="240" w:lineRule="auto"/>
      <w:ind w:left="720"/>
      <w:contextualSpacing/>
    </w:pPr>
    <w:rPr>
      <w:rFonts w:eastAsia="Times New Roman" w:cs="Times New Roman"/>
      <w:sz w:val="20"/>
      <w:szCs w:val="20"/>
      <w:lang w:val="ru-RU" w:eastAsia="ru-RU"/>
    </w:rPr>
  </w:style>
  <w:style w:type="character" w:styleId="a4">
    <w:name w:val="Hyperlink"/>
    <w:basedOn w:val="a0"/>
    <w:uiPriority w:val="99"/>
    <w:unhideWhenUsed/>
    <w:rsid w:val="007F5A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huzr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7785</Words>
  <Characters>4439</Characters>
  <Application>Microsoft Office Word</Application>
  <DocSecurity>0</DocSecurity>
  <Lines>36</Lines>
  <Paragraphs>24</Paragraphs>
  <ScaleCrop>false</ScaleCrop>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cp:revision>
  <cp:lastPrinted>2021-04-01T05:14:00Z</cp:lastPrinted>
  <dcterms:created xsi:type="dcterms:W3CDTF">2021-04-01T04:57:00Z</dcterms:created>
  <dcterms:modified xsi:type="dcterms:W3CDTF">2021-04-01T07:08:00Z</dcterms:modified>
</cp:coreProperties>
</file>